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77AC" w14:textId="60ED9E81" w:rsidR="004A0860" w:rsidRDefault="006A0446">
      <w:pPr>
        <w:jc w:val="center"/>
        <w:rPr>
          <w:rFonts w:ascii="Times New Roman" w:eastAsia="Times New Roman" w:hAnsi="Times New Roman" w:cs="Times New Roman"/>
          <w:b/>
          <w:sz w:val="28"/>
          <w:szCs w:val="28"/>
          <w:lang w:val="en-US"/>
        </w:rPr>
      </w:pPr>
      <w:r>
        <w:rPr>
          <w:rFonts w:ascii="Times New Roman" w:hAnsi="Times New Roman" w:cs="Times New Roman"/>
          <w:noProof/>
        </w:rPr>
        <w:drawing>
          <wp:inline distT="0" distB="0" distL="0" distR="0" wp14:anchorId="48ABB6DA" wp14:editId="7E9291F2">
            <wp:extent cx="3838969" cy="906780"/>
            <wp:effectExtent l="0" t="0" r="9525" b="762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1336" cy="945132"/>
                    </a:xfrm>
                    <a:prstGeom prst="rect">
                      <a:avLst/>
                    </a:prstGeom>
                  </pic:spPr>
                </pic:pic>
              </a:graphicData>
            </a:graphic>
          </wp:inline>
        </w:drawing>
      </w:r>
      <w:r>
        <w:rPr>
          <w:rFonts w:ascii="Times New Roman" w:hAnsi="Times New Roman" w:cs="Times New Roman"/>
          <w:noProof/>
        </w:rPr>
        <w:drawing>
          <wp:anchor distT="0" distB="0" distL="114300" distR="114300" simplePos="0" relativeHeight="251659264" behindDoc="0" locked="0" layoutInCell="1" allowOverlap="1" wp14:anchorId="6FCB32F2" wp14:editId="70D859BC">
            <wp:simplePos x="0" y="0"/>
            <wp:positionH relativeFrom="margin">
              <wp:posOffset>-9311</wp:posOffset>
            </wp:positionH>
            <wp:positionV relativeFrom="paragraph">
              <wp:posOffset>390</wp:posOffset>
            </wp:positionV>
            <wp:extent cx="1327150" cy="1307465"/>
            <wp:effectExtent l="0" t="0" r="0" b="0"/>
            <wp:wrapThrough wrapText="bothSides">
              <wp:wrapPolygon edited="0">
                <wp:start x="10232" y="315"/>
                <wp:lineTo x="1860" y="3462"/>
                <wp:lineTo x="1550" y="4406"/>
                <wp:lineTo x="5271" y="5980"/>
                <wp:lineTo x="5271" y="16051"/>
                <wp:lineTo x="1860" y="18883"/>
                <wp:lineTo x="1860" y="19512"/>
                <wp:lineTo x="3411" y="21086"/>
                <wp:lineTo x="18293" y="21086"/>
                <wp:lineTo x="19533" y="19512"/>
                <wp:lineTo x="18913" y="18254"/>
                <wp:lineTo x="16433" y="16051"/>
                <wp:lineTo x="17673" y="11015"/>
                <wp:lineTo x="19223" y="7553"/>
                <wp:lineTo x="18913" y="5980"/>
                <wp:lineTo x="20153" y="4091"/>
                <wp:lineTo x="18603" y="3147"/>
                <wp:lineTo x="11472" y="315"/>
                <wp:lineTo x="10232" y="315"/>
              </wp:wrapPolygon>
            </wp:wrapThrough>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307465"/>
                    </a:xfrm>
                    <a:prstGeom prst="rect">
                      <a:avLst/>
                    </a:prstGeom>
                  </pic:spPr>
                </pic:pic>
              </a:graphicData>
            </a:graphic>
          </wp:anchor>
        </w:drawing>
      </w:r>
    </w:p>
    <w:p w14:paraId="69B7D81F" w14:textId="29D10BF8" w:rsidR="004A0860" w:rsidRDefault="004A0860">
      <w:pPr>
        <w:jc w:val="center"/>
        <w:rPr>
          <w:rFonts w:ascii="Times New Roman" w:eastAsia="Times New Roman" w:hAnsi="Times New Roman" w:cs="Times New Roman"/>
          <w:b/>
          <w:sz w:val="28"/>
          <w:szCs w:val="28"/>
          <w:lang w:val="en-US"/>
        </w:rPr>
      </w:pPr>
    </w:p>
    <w:p w14:paraId="39D99122" w14:textId="57BC65D8" w:rsidR="004A0860" w:rsidRDefault="004A0860">
      <w:pPr>
        <w:jc w:val="center"/>
        <w:rPr>
          <w:rFonts w:ascii="Times New Roman" w:eastAsia="Times New Roman" w:hAnsi="Times New Roman" w:cs="Times New Roman"/>
          <w:b/>
          <w:sz w:val="28"/>
          <w:szCs w:val="28"/>
          <w:lang w:val="en-US"/>
        </w:rPr>
      </w:pPr>
    </w:p>
    <w:p w14:paraId="5368235D" w14:textId="0B94A953" w:rsidR="004A0860" w:rsidRDefault="004A0860">
      <w:pPr>
        <w:jc w:val="center"/>
        <w:rPr>
          <w:rFonts w:ascii="Times New Roman" w:eastAsia="Times New Roman" w:hAnsi="Times New Roman" w:cs="Times New Roman"/>
          <w:b/>
          <w:sz w:val="28"/>
          <w:szCs w:val="28"/>
          <w:lang w:val="en-US"/>
        </w:rPr>
      </w:pPr>
    </w:p>
    <w:p w14:paraId="656EDD83" w14:textId="77777777" w:rsidR="004A0860" w:rsidRPr="00391637" w:rsidRDefault="004A0860" w:rsidP="006A0446">
      <w:pPr>
        <w:jc w:val="center"/>
        <w:rPr>
          <w:rFonts w:ascii="Times New Roman" w:hAnsi="Times New Roman" w:cs="Times New Roman"/>
          <w:sz w:val="24"/>
          <w:szCs w:val="24"/>
          <w:u w:val="single"/>
          <w:lang w:val="fr-FR"/>
        </w:rPr>
      </w:pPr>
      <w:r w:rsidRPr="00391637">
        <w:rPr>
          <w:rFonts w:ascii="Times New Roman" w:hAnsi="Times New Roman" w:cs="Times New Roman"/>
          <w:sz w:val="24"/>
          <w:szCs w:val="24"/>
          <w:u w:val="single"/>
          <w:lang w:val="fr-FR"/>
        </w:rPr>
        <w:t>Jean Monnet Network on EU Law Enforcement</w:t>
      </w:r>
    </w:p>
    <w:p w14:paraId="6934D8CF" w14:textId="77777777" w:rsidR="004A0860" w:rsidRPr="00DE7F93" w:rsidRDefault="004A0860" w:rsidP="004A0860">
      <w:pPr>
        <w:jc w:val="center"/>
        <w:rPr>
          <w:rFonts w:ascii="Times New Roman" w:hAnsi="Times New Roman" w:cs="Times New Roman"/>
          <w:sz w:val="24"/>
          <w:szCs w:val="24"/>
          <w:u w:val="single"/>
          <w:lang w:val="en-US"/>
        </w:rPr>
      </w:pPr>
      <w:r w:rsidRPr="00DE7F93">
        <w:rPr>
          <w:rFonts w:ascii="Times New Roman" w:hAnsi="Times New Roman" w:cs="Times New Roman"/>
          <w:sz w:val="24"/>
          <w:szCs w:val="24"/>
          <w:u w:val="single"/>
          <w:lang w:val="en-US"/>
        </w:rPr>
        <w:t>Working Paper Series</w:t>
      </w:r>
    </w:p>
    <w:p w14:paraId="5B7E0EED" w14:textId="77777777" w:rsidR="004A0860" w:rsidRDefault="004A0860">
      <w:pPr>
        <w:jc w:val="center"/>
        <w:rPr>
          <w:rFonts w:ascii="Times New Roman" w:eastAsia="Times New Roman" w:hAnsi="Times New Roman" w:cs="Times New Roman"/>
          <w:b/>
          <w:sz w:val="28"/>
          <w:szCs w:val="28"/>
          <w:lang w:val="en-US"/>
        </w:rPr>
      </w:pPr>
    </w:p>
    <w:p w14:paraId="00000001" w14:textId="52A5D326" w:rsidR="00E23BBA" w:rsidRDefault="006768B0" w:rsidP="00DE7F93">
      <w:pPr>
        <w:jc w:val="center"/>
        <w:rPr>
          <w:rFonts w:ascii="Times New Roman" w:eastAsia="Times New Roman" w:hAnsi="Times New Roman" w:cs="Times New Roman"/>
          <w:b/>
          <w:sz w:val="28"/>
          <w:szCs w:val="28"/>
          <w:lang w:val="en-US"/>
        </w:rPr>
      </w:pPr>
      <w:r w:rsidRPr="0031734F">
        <w:rPr>
          <w:rFonts w:ascii="Times New Roman" w:eastAsia="Times New Roman" w:hAnsi="Times New Roman" w:cs="Times New Roman"/>
          <w:b/>
          <w:sz w:val="28"/>
          <w:szCs w:val="28"/>
          <w:lang w:val="en-US"/>
        </w:rPr>
        <w:t xml:space="preserve">EUAA Operations in Malta: legal remedies to </w:t>
      </w:r>
      <w:r w:rsidRPr="0031734F">
        <w:rPr>
          <w:rFonts w:ascii="Times New Roman" w:eastAsia="Times New Roman" w:hAnsi="Times New Roman" w:cs="Times New Roman"/>
          <w:b/>
          <w:i/>
          <w:sz w:val="28"/>
          <w:szCs w:val="28"/>
          <w:lang w:val="en-US"/>
        </w:rPr>
        <w:t>de facto</w:t>
      </w:r>
      <w:r w:rsidRPr="0031734F">
        <w:rPr>
          <w:rFonts w:ascii="Times New Roman" w:eastAsia="Times New Roman" w:hAnsi="Times New Roman" w:cs="Times New Roman"/>
          <w:b/>
          <w:sz w:val="28"/>
          <w:szCs w:val="28"/>
          <w:lang w:val="en-US"/>
        </w:rPr>
        <w:t xml:space="preserve"> powers in the absence of legal certainty</w:t>
      </w:r>
    </w:p>
    <w:p w14:paraId="3EA240E1" w14:textId="540186EB" w:rsidR="004A0860" w:rsidRPr="004A0860" w:rsidRDefault="004A0860">
      <w:pPr>
        <w:jc w:val="center"/>
        <w:rPr>
          <w:rFonts w:ascii="Times New Roman" w:eastAsia="Times New Roman" w:hAnsi="Times New Roman" w:cs="Times New Roman"/>
          <w:b/>
          <w:lang w:val="en-US"/>
        </w:rPr>
      </w:pPr>
    </w:p>
    <w:p w14:paraId="59A1CA4C" w14:textId="1DF1DF28" w:rsidR="004A0860" w:rsidRDefault="004A0860">
      <w:pPr>
        <w:jc w:val="center"/>
        <w:rPr>
          <w:rFonts w:ascii="Times New Roman" w:eastAsia="Times New Roman" w:hAnsi="Times New Roman" w:cs="Times New Roman"/>
          <w:b/>
          <w:lang w:val="en-US"/>
        </w:rPr>
      </w:pPr>
      <w:r w:rsidRPr="004A0860">
        <w:rPr>
          <w:rFonts w:ascii="Times New Roman" w:eastAsia="Times New Roman" w:hAnsi="Times New Roman" w:cs="Times New Roman"/>
          <w:b/>
          <w:lang w:val="en-US"/>
        </w:rPr>
        <w:t>Agostina Pirrello</w:t>
      </w:r>
      <w:r>
        <w:rPr>
          <w:rFonts w:ascii="Times New Roman" w:eastAsia="Times New Roman" w:hAnsi="Times New Roman" w:cs="Times New Roman"/>
          <w:b/>
          <w:lang w:val="en-US"/>
        </w:rPr>
        <w:t>*</w:t>
      </w:r>
    </w:p>
    <w:p w14:paraId="630ABE86" w14:textId="29AA2620" w:rsidR="004A0860" w:rsidRDefault="004A0860">
      <w:pPr>
        <w:jc w:val="center"/>
        <w:rPr>
          <w:rFonts w:ascii="Times New Roman" w:eastAsia="Times New Roman" w:hAnsi="Times New Roman" w:cs="Times New Roman"/>
          <w:b/>
          <w:lang w:val="en-US"/>
        </w:rPr>
      </w:pPr>
    </w:p>
    <w:p w14:paraId="1CE85BD4" w14:textId="4EAFBA0F" w:rsidR="004A0860" w:rsidRPr="002F6D4E" w:rsidRDefault="004A0860" w:rsidP="004A0860">
      <w:pPr>
        <w:jc w:val="center"/>
        <w:rPr>
          <w:rFonts w:ascii="Times New Roman" w:hAnsi="Times New Roman" w:cs="Times New Roman"/>
          <w:lang w:val="en-US"/>
        </w:rPr>
      </w:pPr>
      <w:r w:rsidRPr="002F6D4E">
        <w:rPr>
          <w:rFonts w:ascii="Times New Roman" w:hAnsi="Times New Roman" w:cs="Times New Roman"/>
          <w:lang w:val="en-US"/>
        </w:rPr>
        <w:t>Abstract</w:t>
      </w:r>
    </w:p>
    <w:p w14:paraId="4681B40E" w14:textId="77777777" w:rsidR="00DE7F93" w:rsidRPr="002F6D4E" w:rsidRDefault="00DE7F93" w:rsidP="00DE7F93">
      <w:pPr>
        <w:rPr>
          <w:rFonts w:ascii="Times New Roman" w:hAnsi="Times New Roman" w:cs="Times New Roman"/>
          <w:lang w:val="en-US"/>
        </w:rPr>
      </w:pPr>
    </w:p>
    <w:p w14:paraId="7F855231" w14:textId="508EAB32" w:rsidR="004A0860" w:rsidRDefault="000F7187" w:rsidP="00DE7F93">
      <w:pPr>
        <w:jc w:val="both"/>
        <w:rPr>
          <w:rFonts w:ascii="Times New Roman" w:eastAsia="Times New Roman" w:hAnsi="Times New Roman" w:cs="Times New Roman"/>
          <w:bCs/>
          <w:lang w:val="en-US"/>
        </w:rPr>
      </w:pPr>
      <w:r>
        <w:rPr>
          <w:rFonts w:ascii="Times New Roman" w:eastAsia="Times New Roman" w:hAnsi="Times New Roman" w:cs="Times New Roman"/>
          <w:bCs/>
          <w:lang w:val="en-US"/>
        </w:rPr>
        <w:t>In Malta t</w:t>
      </w:r>
      <w:r w:rsidR="00DE7F93" w:rsidRPr="00DE7F93">
        <w:rPr>
          <w:rFonts w:ascii="Times New Roman" w:eastAsia="Times New Roman" w:hAnsi="Times New Roman" w:cs="Times New Roman"/>
          <w:bCs/>
          <w:lang w:val="en-US"/>
        </w:rPr>
        <w:t>he European Union Agency for Asylum</w:t>
      </w:r>
      <w:r>
        <w:rPr>
          <w:rFonts w:ascii="Times New Roman" w:eastAsia="Times New Roman" w:hAnsi="Times New Roman" w:cs="Times New Roman"/>
          <w:bCs/>
          <w:lang w:val="en-US"/>
        </w:rPr>
        <w:t xml:space="preserve"> (EUAA)</w:t>
      </w:r>
      <w:r w:rsidR="00DE7F93" w:rsidRPr="00DE7F93">
        <w:rPr>
          <w:rFonts w:ascii="Times New Roman" w:eastAsia="Times New Roman" w:hAnsi="Times New Roman" w:cs="Times New Roman"/>
          <w:bCs/>
          <w:lang w:val="en-US"/>
        </w:rPr>
        <w:t xml:space="preserve"> </w:t>
      </w:r>
      <w:r>
        <w:rPr>
          <w:rFonts w:ascii="Times New Roman" w:eastAsia="Times New Roman" w:hAnsi="Times New Roman" w:cs="Times New Roman"/>
          <w:bCs/>
          <w:lang w:val="en-US"/>
        </w:rPr>
        <w:t xml:space="preserve">is </w:t>
      </w:r>
      <w:r w:rsidR="00DE7F93" w:rsidRPr="00DE7F93">
        <w:rPr>
          <w:rFonts w:ascii="Times New Roman" w:eastAsia="Times New Roman" w:hAnsi="Times New Roman" w:cs="Times New Roman"/>
          <w:bCs/>
          <w:lang w:val="en-US"/>
        </w:rPr>
        <w:t>involved in the</w:t>
      </w:r>
      <w:r>
        <w:rPr>
          <w:rFonts w:ascii="Times New Roman" w:eastAsia="Times New Roman" w:hAnsi="Times New Roman" w:cs="Times New Roman"/>
          <w:bCs/>
          <w:lang w:val="en-US"/>
        </w:rPr>
        <w:t xml:space="preserve"> </w:t>
      </w:r>
      <w:r w:rsidR="00DE7F93" w:rsidRPr="00DE7F93">
        <w:rPr>
          <w:rFonts w:ascii="Times New Roman" w:eastAsia="Times New Roman" w:hAnsi="Times New Roman" w:cs="Times New Roman"/>
          <w:bCs/>
          <w:lang w:val="en-US"/>
        </w:rPr>
        <w:t xml:space="preserve">decision-making processes </w:t>
      </w:r>
      <w:r w:rsidR="006208BD">
        <w:rPr>
          <w:rFonts w:ascii="Times New Roman" w:eastAsia="Times New Roman" w:hAnsi="Times New Roman" w:cs="Times New Roman"/>
          <w:bCs/>
          <w:lang w:val="en-US"/>
        </w:rPr>
        <w:t xml:space="preserve">on </w:t>
      </w:r>
      <w:r w:rsidR="00DE7F93" w:rsidRPr="00DE7F93">
        <w:rPr>
          <w:rFonts w:ascii="Times New Roman" w:eastAsia="Times New Roman" w:hAnsi="Times New Roman" w:cs="Times New Roman"/>
          <w:bCs/>
          <w:lang w:val="en-US"/>
        </w:rPr>
        <w:t>individual asylum</w:t>
      </w:r>
      <w:r>
        <w:rPr>
          <w:rFonts w:ascii="Times New Roman" w:eastAsia="Times New Roman" w:hAnsi="Times New Roman" w:cs="Times New Roman"/>
          <w:bCs/>
          <w:lang w:val="en-US"/>
        </w:rPr>
        <w:t xml:space="preserve"> </w:t>
      </w:r>
      <w:r w:rsidR="00DE7F93" w:rsidRPr="00DE7F93">
        <w:rPr>
          <w:rFonts w:ascii="Times New Roman" w:eastAsia="Times New Roman" w:hAnsi="Times New Roman" w:cs="Times New Roman"/>
          <w:bCs/>
          <w:lang w:val="en-US"/>
        </w:rPr>
        <w:t xml:space="preserve">applications. In spite of </w:t>
      </w:r>
      <w:r>
        <w:rPr>
          <w:rFonts w:ascii="Times New Roman" w:eastAsia="Times New Roman" w:hAnsi="Times New Roman" w:cs="Times New Roman"/>
          <w:bCs/>
          <w:lang w:val="en-US"/>
        </w:rPr>
        <w:t xml:space="preserve">the Agency’s ability </w:t>
      </w:r>
      <w:r w:rsidR="00DE7F93" w:rsidRPr="00DE7F93">
        <w:rPr>
          <w:rFonts w:ascii="Times New Roman" w:eastAsia="Times New Roman" w:hAnsi="Times New Roman" w:cs="Times New Roman"/>
          <w:bCs/>
          <w:lang w:val="en-US"/>
        </w:rPr>
        <w:t xml:space="preserve">to </w:t>
      </w:r>
      <w:r>
        <w:rPr>
          <w:rFonts w:ascii="Times New Roman" w:eastAsia="Times New Roman" w:hAnsi="Times New Roman" w:cs="Times New Roman"/>
          <w:bCs/>
          <w:lang w:val="en-US"/>
        </w:rPr>
        <w:t xml:space="preserve">enforce </w:t>
      </w:r>
      <w:r w:rsidR="00DE7F93" w:rsidRPr="00DE7F93">
        <w:rPr>
          <w:rFonts w:ascii="Times New Roman" w:eastAsia="Times New Roman" w:hAnsi="Times New Roman" w:cs="Times New Roman"/>
          <w:bCs/>
          <w:lang w:val="en-US"/>
        </w:rPr>
        <w:t xml:space="preserve">national border procedures and </w:t>
      </w:r>
      <w:r>
        <w:rPr>
          <w:rFonts w:ascii="Times New Roman" w:eastAsia="Times New Roman" w:hAnsi="Times New Roman" w:cs="Times New Roman"/>
          <w:bCs/>
          <w:lang w:val="en-US"/>
        </w:rPr>
        <w:t xml:space="preserve">to affect </w:t>
      </w:r>
      <w:r w:rsidR="00DE7F93" w:rsidRPr="00DE7F93">
        <w:rPr>
          <w:rFonts w:ascii="Times New Roman" w:eastAsia="Times New Roman" w:hAnsi="Times New Roman" w:cs="Times New Roman"/>
          <w:bCs/>
          <w:lang w:val="en-US"/>
        </w:rPr>
        <w:t>the circumstances in</w:t>
      </w:r>
      <w:r>
        <w:rPr>
          <w:rFonts w:ascii="Times New Roman" w:eastAsia="Times New Roman" w:hAnsi="Times New Roman" w:cs="Times New Roman"/>
          <w:bCs/>
          <w:lang w:val="en-US"/>
        </w:rPr>
        <w:t xml:space="preserve"> </w:t>
      </w:r>
      <w:r w:rsidR="00DE7F93" w:rsidRPr="00DE7F93">
        <w:rPr>
          <w:rFonts w:ascii="Times New Roman" w:eastAsia="Times New Roman" w:hAnsi="Times New Roman" w:cs="Times New Roman"/>
          <w:bCs/>
          <w:lang w:val="en-US"/>
        </w:rPr>
        <w:t>which they are carried out, holding the Agency accountable for its actions seems to be prevented</w:t>
      </w:r>
      <w:r>
        <w:rPr>
          <w:rFonts w:ascii="Times New Roman" w:eastAsia="Times New Roman" w:hAnsi="Times New Roman" w:cs="Times New Roman"/>
          <w:bCs/>
          <w:lang w:val="en-US"/>
        </w:rPr>
        <w:t xml:space="preserve"> </w:t>
      </w:r>
      <w:r w:rsidR="00DE7F93" w:rsidRPr="00DE7F93">
        <w:rPr>
          <w:rFonts w:ascii="Times New Roman" w:eastAsia="Times New Roman" w:hAnsi="Times New Roman" w:cs="Times New Roman"/>
          <w:bCs/>
          <w:lang w:val="en-US"/>
        </w:rPr>
        <w:t>by the lack of clear allocations of tasks and the consequent inadequacy of the judicial remedies</w:t>
      </w:r>
      <w:r>
        <w:rPr>
          <w:rFonts w:ascii="Times New Roman" w:eastAsia="Times New Roman" w:hAnsi="Times New Roman" w:cs="Times New Roman"/>
          <w:bCs/>
          <w:lang w:val="en-US"/>
        </w:rPr>
        <w:t xml:space="preserve"> </w:t>
      </w:r>
      <w:r w:rsidR="00DE7F93" w:rsidRPr="00DE7F93">
        <w:rPr>
          <w:rFonts w:ascii="Times New Roman" w:eastAsia="Times New Roman" w:hAnsi="Times New Roman" w:cs="Times New Roman"/>
          <w:bCs/>
          <w:lang w:val="en-US"/>
        </w:rPr>
        <w:t xml:space="preserve">available. </w:t>
      </w:r>
      <w:r>
        <w:rPr>
          <w:rFonts w:ascii="Times New Roman" w:eastAsia="Times New Roman" w:hAnsi="Times New Roman" w:cs="Times New Roman"/>
          <w:bCs/>
          <w:lang w:val="en-US"/>
        </w:rPr>
        <w:t xml:space="preserve">The </w:t>
      </w:r>
      <w:r w:rsidR="00DE7F93" w:rsidRPr="00DE7F93">
        <w:rPr>
          <w:rFonts w:ascii="Times New Roman" w:eastAsia="Times New Roman" w:hAnsi="Times New Roman" w:cs="Times New Roman"/>
          <w:bCs/>
          <w:lang w:val="en-US"/>
        </w:rPr>
        <w:t xml:space="preserve">contribution aims at shedding some lights on the </w:t>
      </w:r>
      <w:r w:rsidR="00DE7F93" w:rsidRPr="000F7187">
        <w:rPr>
          <w:rFonts w:ascii="Times New Roman" w:eastAsia="Times New Roman" w:hAnsi="Times New Roman" w:cs="Times New Roman"/>
          <w:bCs/>
          <w:i/>
          <w:iCs/>
          <w:lang w:val="en-US"/>
        </w:rPr>
        <w:t>de facto</w:t>
      </w:r>
      <w:r w:rsidR="00DE7F93" w:rsidRPr="00DE7F93">
        <w:rPr>
          <w:rFonts w:ascii="Times New Roman" w:eastAsia="Times New Roman" w:hAnsi="Times New Roman" w:cs="Times New Roman"/>
          <w:bCs/>
          <w:lang w:val="en-US"/>
        </w:rPr>
        <w:t xml:space="preserve"> role played</w:t>
      </w:r>
      <w:r>
        <w:rPr>
          <w:rFonts w:ascii="Times New Roman" w:eastAsia="Times New Roman" w:hAnsi="Times New Roman" w:cs="Times New Roman"/>
          <w:bCs/>
          <w:lang w:val="en-US"/>
        </w:rPr>
        <w:t xml:space="preserve"> </w:t>
      </w:r>
      <w:r w:rsidR="00DE7F93" w:rsidRPr="00DE7F93">
        <w:rPr>
          <w:rFonts w:ascii="Times New Roman" w:eastAsia="Times New Roman" w:hAnsi="Times New Roman" w:cs="Times New Roman"/>
          <w:bCs/>
          <w:lang w:val="en-US"/>
        </w:rPr>
        <w:t xml:space="preserve">by the Agency </w:t>
      </w:r>
      <w:r>
        <w:rPr>
          <w:rFonts w:ascii="Times New Roman" w:eastAsia="Times New Roman" w:hAnsi="Times New Roman" w:cs="Times New Roman"/>
          <w:bCs/>
          <w:lang w:val="en-US"/>
        </w:rPr>
        <w:t xml:space="preserve">on the island </w:t>
      </w:r>
      <w:r w:rsidR="00DE7F93" w:rsidRPr="00DE7F93">
        <w:rPr>
          <w:rFonts w:ascii="Times New Roman" w:eastAsia="Times New Roman" w:hAnsi="Times New Roman" w:cs="Times New Roman"/>
          <w:bCs/>
          <w:lang w:val="en-US"/>
        </w:rPr>
        <w:t xml:space="preserve">and on the different problems of effective judicial protection </w:t>
      </w:r>
      <w:r>
        <w:rPr>
          <w:rFonts w:ascii="Times New Roman" w:eastAsia="Times New Roman" w:hAnsi="Times New Roman" w:cs="Times New Roman"/>
          <w:bCs/>
          <w:lang w:val="en-US"/>
        </w:rPr>
        <w:t>which stem from its action</w:t>
      </w:r>
      <w:r w:rsidR="00DE7F93" w:rsidRPr="00DE7F93">
        <w:rPr>
          <w:rFonts w:ascii="Times New Roman" w:eastAsia="Times New Roman" w:hAnsi="Times New Roman" w:cs="Times New Roman"/>
          <w:bCs/>
          <w:lang w:val="en-US"/>
        </w:rPr>
        <w:t>.</w:t>
      </w:r>
    </w:p>
    <w:p w14:paraId="72000793" w14:textId="77777777" w:rsidR="006A0446" w:rsidRDefault="006A0446" w:rsidP="00DE7F93">
      <w:pPr>
        <w:jc w:val="both"/>
        <w:rPr>
          <w:rFonts w:ascii="Times New Roman" w:eastAsia="Times New Roman" w:hAnsi="Times New Roman" w:cs="Times New Roman"/>
          <w:bCs/>
          <w:lang w:val="en-US"/>
        </w:rPr>
      </w:pPr>
    </w:p>
    <w:p w14:paraId="29441815" w14:textId="77777777" w:rsidR="006A0446" w:rsidRPr="006A0446" w:rsidRDefault="006A0446" w:rsidP="006A0446">
      <w:pPr>
        <w:jc w:val="center"/>
        <w:rPr>
          <w:rFonts w:ascii="Times New Roman" w:hAnsi="Times New Roman" w:cs="Times New Roman"/>
          <w:lang w:val="en-US"/>
        </w:rPr>
      </w:pPr>
      <w:r w:rsidRPr="006A0446">
        <w:rPr>
          <w:rFonts w:ascii="Times New Roman" w:hAnsi="Times New Roman" w:cs="Times New Roman"/>
          <w:lang w:val="en-US"/>
        </w:rPr>
        <w:t>Keywords:</w:t>
      </w:r>
    </w:p>
    <w:p w14:paraId="345CAC61" w14:textId="77777777" w:rsidR="006A0446" w:rsidRPr="006A0446" w:rsidRDefault="006A0446" w:rsidP="006A0446">
      <w:pPr>
        <w:jc w:val="center"/>
        <w:rPr>
          <w:rFonts w:ascii="Times New Roman" w:hAnsi="Times New Roman" w:cs="Times New Roman"/>
          <w:lang w:val="en-US"/>
        </w:rPr>
      </w:pPr>
    </w:p>
    <w:p w14:paraId="174FCAB0" w14:textId="6E7E64B7" w:rsidR="006A0446" w:rsidRPr="00DE7F93" w:rsidRDefault="006A0446" w:rsidP="006A0446">
      <w:pPr>
        <w:jc w:val="center"/>
        <w:rPr>
          <w:rFonts w:ascii="Times New Roman" w:eastAsia="Times New Roman" w:hAnsi="Times New Roman" w:cs="Times New Roman"/>
          <w:bCs/>
          <w:lang w:val="en-US"/>
        </w:rPr>
      </w:pPr>
      <w:r w:rsidRPr="006A0446">
        <w:rPr>
          <w:rFonts w:ascii="Times New Roman" w:hAnsi="Times New Roman" w:cs="Times New Roman"/>
          <w:lang w:val="en-US"/>
        </w:rPr>
        <w:t>Enforcement, asylum law, EU Agencies, accountability</w:t>
      </w:r>
    </w:p>
    <w:p w14:paraId="00000002" w14:textId="77777777" w:rsidR="00E23BBA" w:rsidRPr="0031734F" w:rsidRDefault="006768B0">
      <w:pPr>
        <w:jc w:val="both"/>
        <w:rPr>
          <w:rFonts w:ascii="Times New Roman" w:eastAsia="Times New Roman" w:hAnsi="Times New Roman" w:cs="Times New Roman"/>
          <w:b/>
          <w:sz w:val="28"/>
          <w:szCs w:val="28"/>
          <w:lang w:val="en-US"/>
        </w:rPr>
      </w:pPr>
      <w:r w:rsidRPr="0031734F">
        <w:rPr>
          <w:rFonts w:ascii="Times New Roman" w:eastAsia="Times New Roman" w:hAnsi="Times New Roman" w:cs="Times New Roman"/>
          <w:sz w:val="28"/>
          <w:szCs w:val="28"/>
          <w:lang w:val="en-US"/>
        </w:rPr>
        <w:t xml:space="preserve"> </w:t>
      </w:r>
    </w:p>
    <w:p w14:paraId="00000003" w14:textId="280DE9F8" w:rsidR="00E23BBA" w:rsidRPr="000F7187" w:rsidRDefault="000F7187">
      <w:pPr>
        <w:shd w:val="clear" w:color="auto" w:fill="FFFFFF"/>
        <w:jc w:val="both"/>
        <w:rPr>
          <w:rFonts w:ascii="Times New Roman" w:hAnsi="Times New Roman" w:cs="Times New Roman"/>
          <w:b/>
          <w:iCs/>
          <w:lang w:val="en-US"/>
        </w:rPr>
      </w:pPr>
      <w:r>
        <w:rPr>
          <w:rFonts w:ascii="Times New Roman" w:hAnsi="Times New Roman" w:cs="Times New Roman"/>
          <w:b/>
          <w:iCs/>
          <w:lang w:val="en-US"/>
        </w:rPr>
        <w:t xml:space="preserve">I. </w:t>
      </w:r>
      <w:r w:rsidR="006768B0" w:rsidRPr="000F7187">
        <w:rPr>
          <w:rFonts w:ascii="Times New Roman" w:hAnsi="Times New Roman" w:cs="Times New Roman"/>
          <w:b/>
          <w:iCs/>
          <w:lang w:val="en-US"/>
        </w:rPr>
        <w:t>Introduction</w:t>
      </w:r>
    </w:p>
    <w:p w14:paraId="00000004" w14:textId="77777777" w:rsidR="00E23BBA" w:rsidRPr="000F7187" w:rsidRDefault="00E23BBA">
      <w:pPr>
        <w:shd w:val="clear" w:color="auto" w:fill="FFFFFF"/>
        <w:jc w:val="both"/>
        <w:rPr>
          <w:rFonts w:ascii="Times New Roman" w:hAnsi="Times New Roman" w:cs="Times New Roman"/>
          <w:b/>
          <w:lang w:val="en-US"/>
        </w:rPr>
      </w:pPr>
    </w:p>
    <w:p w14:paraId="00000005" w14:textId="2999EE8E" w:rsidR="00E23BBA" w:rsidRPr="000F7187" w:rsidRDefault="006768B0">
      <w:pPr>
        <w:shd w:val="clear" w:color="auto" w:fill="FFFFFF"/>
        <w:jc w:val="both"/>
        <w:rPr>
          <w:rFonts w:ascii="Times New Roman" w:hAnsi="Times New Roman" w:cs="Times New Roman"/>
          <w:lang w:val="en-US"/>
        </w:rPr>
      </w:pPr>
      <w:r w:rsidRPr="000F7187">
        <w:rPr>
          <w:rFonts w:ascii="Times New Roman" w:hAnsi="Times New Roman" w:cs="Times New Roman"/>
          <w:lang w:val="en-US"/>
        </w:rPr>
        <w:t>Legal certainty consists in being able to anticipate the concrete evaluation that will be made in the enforcement of law with reference to the actions and situations performed.</w:t>
      </w:r>
      <w:r w:rsidR="002F6D4E" w:rsidRPr="000F7187">
        <w:rPr>
          <w:rFonts w:ascii="Times New Roman" w:hAnsi="Times New Roman" w:cs="Times New Roman"/>
          <w:lang w:val="en-US"/>
        </w:rPr>
        <w:t xml:space="preserve"> </w:t>
      </w:r>
      <w:r w:rsidRPr="000F7187">
        <w:rPr>
          <w:rFonts w:ascii="Times New Roman" w:hAnsi="Times New Roman" w:cs="Times New Roman"/>
          <w:lang w:val="en-US"/>
        </w:rPr>
        <w:t>As a general principle of the EU legal order, legal certainty "aims to ensure that situations and legal relationships governed by [Union] law remain foreseeable".</w:t>
      </w:r>
      <w:r w:rsidRPr="000F7187">
        <w:rPr>
          <w:rFonts w:ascii="Times New Roman" w:hAnsi="Times New Roman" w:cs="Times New Roman"/>
          <w:vertAlign w:val="superscript"/>
        </w:rPr>
        <w:footnoteReference w:id="1"/>
      </w:r>
      <w:r w:rsidRPr="000F7187">
        <w:rPr>
          <w:rFonts w:ascii="Times New Roman" w:hAnsi="Times New Roman" w:cs="Times New Roman"/>
          <w:lang w:val="en-US"/>
        </w:rPr>
        <w:t xml:space="preserve"> In the context of asylum procedures, this principle arguably encompasses </w:t>
      </w:r>
      <w:r w:rsidR="004526A9">
        <w:rPr>
          <w:rFonts w:ascii="Times New Roman" w:hAnsi="Times New Roman" w:cs="Times New Roman"/>
          <w:lang w:val="en-US"/>
        </w:rPr>
        <w:t xml:space="preserve">at the very least </w:t>
      </w:r>
      <w:r w:rsidRPr="000F7187">
        <w:rPr>
          <w:rFonts w:ascii="Times New Roman" w:hAnsi="Times New Roman" w:cs="Times New Roman"/>
          <w:lang w:val="en-US"/>
        </w:rPr>
        <w:t xml:space="preserve">the foreseeability of who takes the decision on the application for international protection and who is entitled to affect the procedure and the circumstances in which it is carried out. However, this condition has been imperiled by the entrance in the legal arena of actors </w:t>
      </w:r>
      <w:r w:rsidRPr="000F7187">
        <w:rPr>
          <w:rFonts w:ascii="Times New Roman" w:hAnsi="Times New Roman" w:cs="Times New Roman"/>
          <w:lang w:val="en-US"/>
        </w:rPr>
        <w:lastRenderedPageBreak/>
        <w:t>holding powers which are not clearly defined, i.e. EU Agencies acting in the AFSJ.</w:t>
      </w:r>
      <w:r w:rsidRPr="000F7187">
        <w:rPr>
          <w:rFonts w:ascii="Times New Roman" w:hAnsi="Times New Roman" w:cs="Times New Roman"/>
          <w:vertAlign w:val="superscript"/>
        </w:rPr>
        <w:footnoteReference w:id="2"/>
      </w:r>
      <w:r w:rsidRPr="000F7187">
        <w:rPr>
          <w:rFonts w:ascii="Times New Roman" w:hAnsi="Times New Roman" w:cs="Times New Roman"/>
          <w:lang w:val="en-US"/>
        </w:rPr>
        <w:t xml:space="preserve"> In the last decade EU migration agencies underwent</w:t>
      </w:r>
      <w:r w:rsidR="008F5382" w:rsidRPr="000F7187">
        <w:rPr>
          <w:rFonts w:ascii="Times New Roman" w:hAnsi="Times New Roman" w:cs="Times New Roman"/>
          <w:lang w:val="en-US"/>
        </w:rPr>
        <w:t xml:space="preserve"> </w:t>
      </w:r>
      <w:r w:rsidRPr="000F7187">
        <w:rPr>
          <w:rFonts w:ascii="Times New Roman" w:hAnsi="Times New Roman" w:cs="Times New Roman"/>
          <w:lang w:val="en-US"/>
        </w:rPr>
        <w:t>a tremendous development of their mandates, tasks, and activities.</w:t>
      </w:r>
      <w:r w:rsidRPr="000F7187">
        <w:rPr>
          <w:rFonts w:ascii="Times New Roman" w:hAnsi="Times New Roman" w:cs="Times New Roman"/>
          <w:vertAlign w:val="superscript"/>
        </w:rPr>
        <w:footnoteReference w:id="3"/>
      </w:r>
      <w:r w:rsidRPr="000F7187">
        <w:rPr>
          <w:rFonts w:ascii="Times New Roman" w:hAnsi="Times New Roman" w:cs="Times New Roman"/>
          <w:lang w:val="en-US"/>
        </w:rPr>
        <w:t xml:space="preserve"> This growth of powers presents two intertwined problematic issues: 1. the expansion frequently takes the form of powers established </w:t>
      </w:r>
      <w:r w:rsidRPr="000F7187">
        <w:rPr>
          <w:rFonts w:ascii="Times New Roman" w:hAnsi="Times New Roman" w:cs="Times New Roman"/>
          <w:i/>
          <w:lang w:val="en-US"/>
        </w:rPr>
        <w:t xml:space="preserve">de facto </w:t>
      </w:r>
      <w:r w:rsidRPr="000F7187">
        <w:rPr>
          <w:rFonts w:ascii="Times New Roman" w:hAnsi="Times New Roman" w:cs="Times New Roman"/>
          <w:lang w:val="en-US"/>
        </w:rPr>
        <w:t xml:space="preserve">rather than through clear legislative instruments; 2. the conferral - </w:t>
      </w:r>
      <w:r w:rsidRPr="000F7187">
        <w:rPr>
          <w:rFonts w:ascii="Times New Roman" w:hAnsi="Times New Roman" w:cs="Times New Roman"/>
          <w:i/>
          <w:lang w:val="en-US"/>
        </w:rPr>
        <w:t>de iure</w:t>
      </w:r>
      <w:r w:rsidRPr="000F7187">
        <w:rPr>
          <w:rFonts w:ascii="Times New Roman" w:hAnsi="Times New Roman" w:cs="Times New Roman"/>
          <w:lang w:val="en-US"/>
        </w:rPr>
        <w:t xml:space="preserve"> or </w:t>
      </w:r>
      <w:r w:rsidRPr="000F7187">
        <w:rPr>
          <w:rFonts w:ascii="Times New Roman" w:hAnsi="Times New Roman" w:cs="Times New Roman"/>
          <w:i/>
          <w:lang w:val="en-US"/>
        </w:rPr>
        <w:t>de facto</w:t>
      </w:r>
      <w:r w:rsidRPr="000F7187">
        <w:rPr>
          <w:rFonts w:ascii="Times New Roman" w:hAnsi="Times New Roman" w:cs="Times New Roman"/>
          <w:lang w:val="en-US"/>
        </w:rPr>
        <w:t xml:space="preserve"> - of</w:t>
      </w:r>
      <w:r w:rsidR="008F5382" w:rsidRPr="000F7187">
        <w:rPr>
          <w:rFonts w:ascii="Times New Roman" w:hAnsi="Times New Roman" w:cs="Times New Roman"/>
          <w:lang w:val="en-US"/>
        </w:rPr>
        <w:t xml:space="preserve"> </w:t>
      </w:r>
      <w:r w:rsidRPr="000F7187">
        <w:rPr>
          <w:rFonts w:ascii="Times New Roman" w:hAnsi="Times New Roman" w:cs="Times New Roman"/>
          <w:lang w:val="en-US"/>
        </w:rPr>
        <w:t>extensive competences has not been implemented together with appropriate accountability mechanisms. The two aspects emerge with regard to the European Union Agency for Asylum (EUAA), established in January 2022 as a successor of the European Asylum Support Office (EASO), with the mandate of increasing convergence and ensuring the quality of Member States’ decision-making in their asylum procedures.</w:t>
      </w:r>
      <w:r w:rsidRPr="000F7187">
        <w:rPr>
          <w:rFonts w:ascii="Times New Roman" w:hAnsi="Times New Roman" w:cs="Times New Roman"/>
          <w:vertAlign w:val="superscript"/>
        </w:rPr>
        <w:footnoteReference w:id="4"/>
      </w:r>
      <w:r w:rsidRPr="000F7187">
        <w:rPr>
          <w:rFonts w:ascii="Times New Roman" w:hAnsi="Times New Roman" w:cs="Times New Roman"/>
          <w:lang w:val="en-US"/>
        </w:rPr>
        <w:t xml:space="preserve"> EUAA is currently conducting operations in nine Member States (MS),</w:t>
      </w:r>
      <w:r w:rsidRPr="000F7187">
        <w:rPr>
          <w:rFonts w:ascii="Times New Roman" w:hAnsi="Times New Roman" w:cs="Times New Roman"/>
          <w:vertAlign w:val="superscript"/>
        </w:rPr>
        <w:footnoteReference w:id="5"/>
      </w:r>
      <w:r w:rsidRPr="000F7187">
        <w:rPr>
          <w:rFonts w:ascii="Times New Roman" w:hAnsi="Times New Roman" w:cs="Times New Roman"/>
          <w:lang w:val="en-US"/>
        </w:rPr>
        <w:t xml:space="preserve"> finding room in their administrative systems by means of “asylum support teams” which are deployed on the basis of Operating Plans agreed with national authorities.</w:t>
      </w:r>
      <w:r w:rsidRPr="000F7187">
        <w:rPr>
          <w:rFonts w:ascii="Times New Roman" w:hAnsi="Times New Roman" w:cs="Times New Roman"/>
          <w:vertAlign w:val="superscript"/>
        </w:rPr>
        <w:footnoteReference w:id="6"/>
      </w:r>
      <w:r w:rsidR="008F5382" w:rsidRPr="000F7187">
        <w:rPr>
          <w:rFonts w:ascii="Times New Roman" w:hAnsi="Times New Roman" w:cs="Times New Roman"/>
          <w:vertAlign w:val="superscript"/>
          <w:lang w:val="en-US"/>
        </w:rPr>
        <w:t xml:space="preserve"> </w:t>
      </w:r>
      <w:r w:rsidRPr="000F7187">
        <w:rPr>
          <w:rFonts w:ascii="Times New Roman" w:hAnsi="Times New Roman" w:cs="Times New Roman"/>
          <w:lang w:val="en-US"/>
        </w:rPr>
        <w:t>The assistance to be provided by the Agency was designed to be ancillary to the role of national authorities in the enforcement of asylum law: the founding Regulation states that the Agency should have no direct or indirect powers in relation to the taking of decisions by Member States’ asylum authorities on individual applications for international protection.</w:t>
      </w:r>
      <w:r w:rsidRPr="000F7187">
        <w:rPr>
          <w:rFonts w:ascii="Times New Roman" w:hAnsi="Times New Roman" w:cs="Times New Roman"/>
          <w:vertAlign w:val="superscript"/>
        </w:rPr>
        <w:footnoteReference w:id="7"/>
      </w:r>
      <w:r w:rsidRPr="000F7187">
        <w:rPr>
          <w:rFonts w:ascii="Times New Roman" w:hAnsi="Times New Roman" w:cs="Times New Roman"/>
          <w:lang w:val="en-US"/>
        </w:rPr>
        <w:t xml:space="preserve"> Nevertheless, the practical application of the law showed a different reality, as the Agency’s personnel has been substantially involved in the processing of asylum applications</w:t>
      </w:r>
      <w:r w:rsidR="003F5099" w:rsidRPr="003F5099">
        <w:rPr>
          <w:rFonts w:ascii="Times New Roman" w:hAnsi="Times New Roman" w:cs="Times New Roman"/>
          <w:lang w:val="en-US"/>
        </w:rPr>
        <w:t xml:space="preserve"> </w:t>
      </w:r>
      <w:r w:rsidR="003F5099" w:rsidRPr="000F7187">
        <w:rPr>
          <w:rFonts w:ascii="Times New Roman" w:hAnsi="Times New Roman" w:cs="Times New Roman"/>
          <w:lang w:val="en-US"/>
        </w:rPr>
        <w:t>in some</w:t>
      </w:r>
      <w:r w:rsidR="003F5099">
        <w:rPr>
          <w:rFonts w:ascii="Times New Roman" w:hAnsi="Times New Roman" w:cs="Times New Roman"/>
          <w:lang w:val="en-US"/>
        </w:rPr>
        <w:t xml:space="preserve"> of the</w:t>
      </w:r>
      <w:r w:rsidR="003F5099" w:rsidRPr="000F7187">
        <w:rPr>
          <w:rFonts w:ascii="Times New Roman" w:hAnsi="Times New Roman" w:cs="Times New Roman"/>
          <w:lang w:val="en-US"/>
        </w:rPr>
        <w:t xml:space="preserve"> MS </w:t>
      </w:r>
      <w:r w:rsidR="003F5099">
        <w:rPr>
          <w:rFonts w:ascii="Times New Roman" w:hAnsi="Times New Roman" w:cs="Times New Roman"/>
          <w:lang w:val="en-US"/>
        </w:rPr>
        <w:t>in which it operates</w:t>
      </w:r>
      <w:r w:rsidRPr="000F7187">
        <w:rPr>
          <w:rFonts w:ascii="Times New Roman" w:hAnsi="Times New Roman" w:cs="Times New Roman"/>
          <w:lang w:val="en-US"/>
        </w:rPr>
        <w:t>.</w:t>
      </w:r>
      <w:r w:rsidRPr="000F7187">
        <w:rPr>
          <w:rFonts w:ascii="Times New Roman" w:hAnsi="Times New Roman" w:cs="Times New Roman"/>
          <w:vertAlign w:val="superscript"/>
        </w:rPr>
        <w:footnoteReference w:id="8"/>
      </w:r>
      <w:r w:rsidRPr="000F7187">
        <w:rPr>
          <w:rFonts w:ascii="Times New Roman" w:hAnsi="Times New Roman" w:cs="Times New Roman"/>
          <w:lang w:val="en-US"/>
        </w:rPr>
        <w:t xml:space="preserve"> The paper will cover the case of Malta, where the Agency has been conducting its Operations since 2019. In recent years the island has seen a sharp increase in asylum applications, going from 23 in 2017 to 3406 in 2019, to 2281 in 2020.</w:t>
      </w:r>
      <w:r w:rsidRPr="000F7187">
        <w:rPr>
          <w:rFonts w:ascii="Times New Roman" w:hAnsi="Times New Roman" w:cs="Times New Roman"/>
          <w:vertAlign w:val="superscript"/>
        </w:rPr>
        <w:footnoteReference w:id="9"/>
      </w:r>
      <w:r w:rsidRPr="000F7187">
        <w:rPr>
          <w:rFonts w:ascii="Times New Roman" w:hAnsi="Times New Roman" w:cs="Times New Roman"/>
          <w:lang w:val="en-US"/>
        </w:rPr>
        <w:t xml:space="preserve"> The purpose of this contribution is to examine what are the legal venues (or their lack thereof) available in EU law to challenge the role played by EUAA in the processing of asylum requests in the island. The analysis explores how EUAA can be held responsible for its acts and actions and how it can be called to face consequences in case of unlawfulness of its conduct. The central argument is that the</w:t>
      </w:r>
      <w:r w:rsidRPr="000F7187">
        <w:rPr>
          <w:rFonts w:ascii="Times New Roman" w:hAnsi="Times New Roman" w:cs="Times New Roman"/>
          <w:i/>
          <w:lang w:val="en-US"/>
        </w:rPr>
        <w:t xml:space="preserve"> </w:t>
      </w:r>
      <w:r w:rsidRPr="000F7187">
        <w:rPr>
          <w:rFonts w:ascii="Times New Roman" w:hAnsi="Times New Roman" w:cs="Times New Roman"/>
          <w:lang w:val="en-US"/>
        </w:rPr>
        <w:t>influence exerted by the Agency in the field does not find a counterbalance in the remedies available to asylum seekers</w:t>
      </w:r>
      <w:r w:rsidR="004526A9">
        <w:rPr>
          <w:rFonts w:ascii="Times New Roman" w:hAnsi="Times New Roman" w:cs="Times New Roman"/>
          <w:lang w:val="en-US"/>
        </w:rPr>
        <w:t xml:space="preserve"> for potential violations</w:t>
      </w:r>
      <w:r w:rsidRPr="000F7187">
        <w:rPr>
          <w:rFonts w:ascii="Times New Roman" w:hAnsi="Times New Roman" w:cs="Times New Roman"/>
          <w:lang w:val="en-US"/>
        </w:rPr>
        <w:t xml:space="preserve">. I will first give an overview of the growing involvement of the Agency in individual asylum decisions in order to set the framework for the analysis. Second, I will display the problems connected to the possibility of challenging the Agency’s acts which include assessments </w:t>
      </w:r>
      <w:r w:rsidR="006208BD">
        <w:rPr>
          <w:rFonts w:ascii="Times New Roman" w:hAnsi="Times New Roman" w:cs="Times New Roman"/>
          <w:lang w:val="en-US"/>
        </w:rPr>
        <w:t>that</w:t>
      </w:r>
      <w:r w:rsidRPr="000F7187">
        <w:rPr>
          <w:rFonts w:ascii="Times New Roman" w:hAnsi="Times New Roman" w:cs="Times New Roman"/>
          <w:lang w:val="en-US"/>
        </w:rPr>
        <w:t xml:space="preserve"> affect asylum decisions. Third, I will analyze what remedies are available with regards to the Agency’s factual conduct. Finally, some conclusions will be drawn on how the lack of legal clarity and the </w:t>
      </w:r>
      <w:r w:rsidRPr="000F7187">
        <w:rPr>
          <w:rFonts w:ascii="Times New Roman" w:hAnsi="Times New Roman" w:cs="Times New Roman"/>
          <w:lang w:val="en-US"/>
        </w:rPr>
        <w:lastRenderedPageBreak/>
        <w:t xml:space="preserve">existence of actions with real effect but no legal recognition create serious challenges for the rule of law. </w:t>
      </w:r>
    </w:p>
    <w:p w14:paraId="00000006" w14:textId="77777777" w:rsidR="00E23BBA" w:rsidRPr="000F7187" w:rsidRDefault="00E23BBA">
      <w:pPr>
        <w:shd w:val="clear" w:color="auto" w:fill="FFFFFF"/>
        <w:jc w:val="both"/>
        <w:rPr>
          <w:rFonts w:ascii="Times New Roman" w:hAnsi="Times New Roman" w:cs="Times New Roman"/>
          <w:lang w:val="en-US"/>
        </w:rPr>
      </w:pPr>
    </w:p>
    <w:p w14:paraId="00000007" w14:textId="479257DC" w:rsidR="00E23BBA" w:rsidRPr="00D65067" w:rsidRDefault="003F5099" w:rsidP="003F5099">
      <w:pPr>
        <w:shd w:val="clear" w:color="auto" w:fill="FFFFFF"/>
        <w:ind w:left="360"/>
        <w:jc w:val="both"/>
        <w:rPr>
          <w:rFonts w:ascii="Times New Roman" w:hAnsi="Times New Roman" w:cs="Times New Roman"/>
          <w:b/>
          <w:lang w:val="en-US"/>
        </w:rPr>
      </w:pPr>
      <w:r w:rsidRPr="00D65067">
        <w:rPr>
          <w:rFonts w:ascii="Times New Roman" w:hAnsi="Times New Roman" w:cs="Times New Roman"/>
          <w:b/>
          <w:lang w:val="en-US"/>
        </w:rPr>
        <w:t xml:space="preserve">II. </w:t>
      </w:r>
      <w:r w:rsidR="006768B0" w:rsidRPr="00D65067">
        <w:rPr>
          <w:rFonts w:ascii="Times New Roman" w:hAnsi="Times New Roman" w:cs="Times New Roman"/>
          <w:b/>
          <w:lang w:val="en-US"/>
        </w:rPr>
        <w:t>Exceeding EUAA mandate</w:t>
      </w:r>
    </w:p>
    <w:p w14:paraId="00000008" w14:textId="597554E0" w:rsidR="00E23BBA" w:rsidRPr="000F7187" w:rsidRDefault="006768B0">
      <w:pPr>
        <w:shd w:val="clear" w:color="auto" w:fill="FFFFFF"/>
        <w:spacing w:before="240" w:after="240"/>
        <w:jc w:val="both"/>
        <w:rPr>
          <w:rFonts w:ascii="Times New Roman" w:eastAsia="Times New Roman" w:hAnsi="Times New Roman" w:cs="Times New Roman"/>
          <w:b/>
          <w:lang w:val="en-US"/>
        </w:rPr>
      </w:pPr>
      <w:r w:rsidRPr="000F7187">
        <w:rPr>
          <w:rFonts w:ascii="Times New Roman" w:hAnsi="Times New Roman" w:cs="Times New Roman"/>
          <w:lang w:val="en-US"/>
        </w:rPr>
        <w:t>The initial design of the EU policy involving EU agencies foresaw a sort of executive federalism by virtue of which the national executives assume responsibility for the application of European law and the agencies should have only provided “purely technical evaluations”.</w:t>
      </w:r>
      <w:r w:rsidRPr="000F7187">
        <w:rPr>
          <w:rFonts w:ascii="Times New Roman" w:hAnsi="Times New Roman" w:cs="Times New Roman"/>
          <w:vertAlign w:val="superscript"/>
        </w:rPr>
        <w:footnoteReference w:id="10"/>
      </w:r>
      <w:r w:rsidRPr="000F7187">
        <w:rPr>
          <w:rFonts w:ascii="Times New Roman" w:hAnsi="Times New Roman" w:cs="Times New Roman"/>
          <w:lang w:val="en-US"/>
        </w:rPr>
        <w:t xml:space="preserve"> In line with this view, EASO was conceived to function as a producer of expert knowledge in a context heavily affected by political considerations.</w:t>
      </w:r>
      <w:r w:rsidRPr="000F7187">
        <w:rPr>
          <w:rFonts w:ascii="Times New Roman" w:hAnsi="Times New Roman" w:cs="Times New Roman"/>
          <w:vertAlign w:val="superscript"/>
        </w:rPr>
        <w:footnoteReference w:id="11"/>
      </w:r>
      <w:r w:rsidRPr="000F7187">
        <w:rPr>
          <w:rFonts w:ascii="Times New Roman" w:hAnsi="Times New Roman" w:cs="Times New Roman"/>
          <w:lang w:val="en-US"/>
        </w:rPr>
        <w:t xml:space="preserve"> The Agency was created to perform three main duties: 1. enhancing practical cooperation on asylum among MS; 2. provide support to MS whose asylum systems were under particular pressure; 3. contribute to the implementation of the CEAS.</w:t>
      </w:r>
      <w:r w:rsidRPr="000F7187">
        <w:rPr>
          <w:rFonts w:ascii="Times New Roman" w:hAnsi="Times New Roman" w:cs="Times New Roman"/>
          <w:vertAlign w:val="superscript"/>
        </w:rPr>
        <w:footnoteReference w:id="12"/>
      </w:r>
      <w:r w:rsidRPr="000F7187">
        <w:rPr>
          <w:rFonts w:ascii="Times New Roman" w:hAnsi="Times New Roman" w:cs="Times New Roman"/>
          <w:lang w:val="en-US"/>
        </w:rPr>
        <w:t xml:space="preserve"> However, the clear-cut distinction between ‘technical’ advice and enforcement did not prove to reflect accurately the reality of EU law implementation. In the policy area of asylum, the so-called “hotspot approach”</w:t>
      </w:r>
      <w:r w:rsidRPr="000F7187">
        <w:rPr>
          <w:rFonts w:ascii="Times New Roman" w:hAnsi="Times New Roman" w:cs="Times New Roman"/>
          <w:vertAlign w:val="superscript"/>
        </w:rPr>
        <w:footnoteReference w:id="13"/>
      </w:r>
      <w:r w:rsidRPr="000F7187">
        <w:rPr>
          <w:rFonts w:ascii="Times New Roman" w:hAnsi="Times New Roman" w:cs="Times New Roman"/>
          <w:lang w:val="en-US"/>
        </w:rPr>
        <w:t xml:space="preserve"> adopted by the Commission to face the migration crisis</w:t>
      </w:r>
      <w:r w:rsidRPr="000F7187">
        <w:rPr>
          <w:rFonts w:ascii="Times New Roman" w:hAnsi="Times New Roman" w:cs="Times New Roman"/>
          <w:vertAlign w:val="superscript"/>
        </w:rPr>
        <w:footnoteReference w:id="14"/>
      </w:r>
      <w:r w:rsidRPr="000F7187">
        <w:rPr>
          <w:rFonts w:ascii="Times New Roman" w:hAnsi="Times New Roman" w:cs="Times New Roman"/>
          <w:lang w:val="en-US"/>
        </w:rPr>
        <w:t xml:space="preserve"> gave rise to an unprecedented degree of integration between agencies and the national levels.</w:t>
      </w:r>
      <w:r w:rsidRPr="000F7187">
        <w:rPr>
          <w:rFonts w:ascii="Times New Roman" w:hAnsi="Times New Roman" w:cs="Times New Roman"/>
          <w:vertAlign w:val="superscript"/>
        </w:rPr>
        <w:footnoteReference w:id="15"/>
      </w:r>
      <w:r w:rsidRPr="000F7187">
        <w:rPr>
          <w:rFonts w:ascii="Times New Roman" w:hAnsi="Times New Roman" w:cs="Times New Roman"/>
          <w:lang w:val="en-US"/>
        </w:rPr>
        <w:t xml:space="preserve"> EASO personnel in Greece started conducting parts of the asylum process which entail discretion, such as conducting the admissibility interview and drafting the credibility assessment at the basis of the decision on asylum.</w:t>
      </w:r>
      <w:r w:rsidRPr="000F7187">
        <w:rPr>
          <w:rFonts w:ascii="Times New Roman" w:hAnsi="Times New Roman" w:cs="Times New Roman"/>
          <w:vertAlign w:val="superscript"/>
        </w:rPr>
        <w:footnoteReference w:id="16"/>
      </w:r>
      <w:r w:rsidRPr="000F7187">
        <w:rPr>
          <w:rFonts w:ascii="Times New Roman" w:hAnsi="Times New Roman" w:cs="Times New Roman"/>
          <w:lang w:val="en-US"/>
        </w:rPr>
        <w:t xml:space="preserve"> The circumstances led scholars to claim that a composite administrative procedure emerged,</w:t>
      </w:r>
      <w:r w:rsidRPr="000F7187">
        <w:rPr>
          <w:rFonts w:ascii="Times New Roman" w:hAnsi="Times New Roman" w:cs="Times New Roman"/>
          <w:vertAlign w:val="superscript"/>
        </w:rPr>
        <w:footnoteReference w:id="17"/>
      </w:r>
      <w:r w:rsidRPr="000F7187">
        <w:rPr>
          <w:rFonts w:ascii="Times New Roman" w:hAnsi="Times New Roman" w:cs="Times New Roman"/>
          <w:lang w:val="en-US"/>
        </w:rPr>
        <w:t xml:space="preserve"> thus raising doubts on who had the real decision making power.</w:t>
      </w:r>
      <w:r w:rsidRPr="000F7187">
        <w:rPr>
          <w:rFonts w:ascii="Times New Roman" w:hAnsi="Times New Roman" w:cs="Times New Roman"/>
          <w:color w:val="111111"/>
          <w:highlight w:val="white"/>
          <w:vertAlign w:val="superscript"/>
        </w:rPr>
        <w:footnoteReference w:id="18"/>
      </w:r>
      <w:r w:rsidRPr="000F7187">
        <w:rPr>
          <w:rFonts w:ascii="Times New Roman" w:hAnsi="Times New Roman" w:cs="Times New Roman"/>
          <w:color w:val="111111"/>
          <w:highlight w:val="white"/>
          <w:lang w:val="en-US"/>
        </w:rPr>
        <w:t xml:space="preserve"> In spite of the Agency’s mandate, it was reported that</w:t>
      </w:r>
      <w:r w:rsidR="008F5382" w:rsidRPr="000F7187">
        <w:rPr>
          <w:rFonts w:ascii="Times New Roman" w:hAnsi="Times New Roman" w:cs="Times New Roman"/>
          <w:color w:val="111111"/>
          <w:highlight w:val="white"/>
          <w:lang w:val="en-US"/>
        </w:rPr>
        <w:t xml:space="preserve"> </w:t>
      </w:r>
      <w:r w:rsidRPr="000F7187">
        <w:rPr>
          <w:rFonts w:ascii="Times New Roman" w:hAnsi="Times New Roman" w:cs="Times New Roman"/>
          <w:lang w:val="en-US"/>
        </w:rPr>
        <w:t xml:space="preserve">EASO took a prominent position in the hotspots in Greece, replacing </w:t>
      </w:r>
      <w:r w:rsidRPr="000F7187">
        <w:rPr>
          <w:rFonts w:ascii="Times New Roman" w:hAnsi="Times New Roman" w:cs="Times New Roman"/>
          <w:i/>
          <w:lang w:val="en-US"/>
        </w:rPr>
        <w:t xml:space="preserve">de facto </w:t>
      </w:r>
      <w:r w:rsidRPr="000F7187">
        <w:rPr>
          <w:rFonts w:ascii="Times New Roman" w:hAnsi="Times New Roman" w:cs="Times New Roman"/>
          <w:lang w:val="en-US"/>
        </w:rPr>
        <w:t>national authorities in the decisions on individual applications.</w:t>
      </w:r>
      <w:r w:rsidRPr="000F7187">
        <w:rPr>
          <w:rFonts w:ascii="Times New Roman" w:hAnsi="Times New Roman" w:cs="Times New Roman"/>
          <w:vertAlign w:val="superscript"/>
        </w:rPr>
        <w:footnoteReference w:id="19"/>
      </w:r>
      <w:r w:rsidRPr="000F7187">
        <w:rPr>
          <w:rFonts w:ascii="Times New Roman" w:hAnsi="Times New Roman" w:cs="Times New Roman"/>
          <w:lang w:val="en-US"/>
        </w:rPr>
        <w:t xml:space="preserve"> This scenario has been made possible by the unclear allocation of tasks, as the Regulation </w:t>
      </w:r>
      <w:r w:rsidRPr="000F7187">
        <w:rPr>
          <w:rFonts w:ascii="Times New Roman" w:hAnsi="Times New Roman" w:cs="Times New Roman"/>
          <w:lang w:val="en-US"/>
        </w:rPr>
        <w:lastRenderedPageBreak/>
        <w:t>did not specify how the support should have been provided and the Operational Plans agreed with MS did not give detailed indications in this sense.</w:t>
      </w:r>
      <w:r w:rsidRPr="000F7187">
        <w:rPr>
          <w:rFonts w:ascii="Times New Roman" w:hAnsi="Times New Roman" w:cs="Times New Roman"/>
          <w:vertAlign w:val="superscript"/>
        </w:rPr>
        <w:footnoteReference w:id="20"/>
      </w:r>
      <w:r w:rsidRPr="000F7187">
        <w:rPr>
          <w:rFonts w:ascii="Times New Roman" w:hAnsi="Times New Roman" w:cs="Times New Roman"/>
          <w:lang w:val="en-US"/>
        </w:rPr>
        <w:t xml:space="preserve"> In 2019, EASO started its operations in Malta, being involved in first instance asylum determination procedures, following the model that had been experimented in Greece since 2015, thus causing the same problems of lack of clarity and accountability gaps. The EUAA Regulation which entered into force in January 2022 did not solve these problems. In the Regulation it is emphasized again that the Agency should not prejudice national authorities’ competence to decide on individual applications for international protection.</w:t>
      </w:r>
      <w:r w:rsidRPr="000F7187">
        <w:rPr>
          <w:rFonts w:ascii="Times New Roman" w:hAnsi="Times New Roman" w:cs="Times New Roman"/>
          <w:vertAlign w:val="superscript"/>
        </w:rPr>
        <w:footnoteReference w:id="21"/>
      </w:r>
      <w:r w:rsidRPr="000F7187">
        <w:rPr>
          <w:rFonts w:ascii="Times New Roman" w:hAnsi="Times New Roman" w:cs="Times New Roman"/>
          <w:lang w:val="en-US"/>
        </w:rPr>
        <w:t xml:space="preserve"> However, two points still pose some risks to legal certainty: 1. the legislation and the Operational Plans do not specify what are the boundaries which would prevent the assistance in processing asylum applications from turning into a replacement of national authorities; 2. the accountability regime of the Agency has not been considerably improved (although, as I will explain later, a complaint mechanism was introduced). As regards Malta, the Operational Plan states generically that the Agency provides “support with document analysis in the asylum procedure first instance processes”</w:t>
      </w:r>
      <w:r w:rsidR="008F5382" w:rsidRPr="000F7187">
        <w:rPr>
          <w:rFonts w:ascii="Times New Roman" w:hAnsi="Times New Roman" w:cs="Times New Roman"/>
          <w:lang w:val="en-US"/>
        </w:rPr>
        <w:t xml:space="preserve"> </w:t>
      </w:r>
      <w:r w:rsidRPr="000F7187">
        <w:rPr>
          <w:rFonts w:ascii="Times New Roman" w:hAnsi="Times New Roman" w:cs="Times New Roman"/>
          <w:lang w:val="en-US"/>
        </w:rPr>
        <w:t>and “to the asylum procedure first instance processes -registration, Dublin procedure, personal interview, drafting of evaluation reports”.</w:t>
      </w:r>
      <w:r w:rsidRPr="000F7187">
        <w:rPr>
          <w:rFonts w:ascii="Times New Roman" w:hAnsi="Times New Roman" w:cs="Times New Roman"/>
          <w:vertAlign w:val="superscript"/>
        </w:rPr>
        <w:footnoteReference w:id="22"/>
      </w:r>
      <w:r w:rsidRPr="000F7187">
        <w:rPr>
          <w:rFonts w:ascii="Times New Roman" w:hAnsi="Times New Roman" w:cs="Times New Roman"/>
          <w:lang w:val="en-US"/>
        </w:rPr>
        <w:t xml:space="preserve"> As analyzed below, the vague legislative indications and the incomplete provisions in the Operational Plan pose risks as to how to challenge the Agency's acts and conduct.</w:t>
      </w:r>
    </w:p>
    <w:p w14:paraId="00000009" w14:textId="77777777" w:rsidR="00E23BBA" w:rsidRPr="000F7187" w:rsidRDefault="006768B0">
      <w:pPr>
        <w:numPr>
          <w:ilvl w:val="0"/>
          <w:numId w:val="1"/>
        </w:numPr>
        <w:shd w:val="clear" w:color="auto" w:fill="FFFFFF"/>
        <w:spacing w:before="240" w:after="240"/>
        <w:jc w:val="both"/>
        <w:rPr>
          <w:rFonts w:ascii="Times New Roman" w:hAnsi="Times New Roman" w:cs="Times New Roman"/>
          <w:b/>
          <w:lang w:val="en-US"/>
        </w:rPr>
      </w:pPr>
      <w:r w:rsidRPr="000F7187">
        <w:rPr>
          <w:rFonts w:ascii="Times New Roman" w:hAnsi="Times New Roman" w:cs="Times New Roman"/>
          <w:b/>
          <w:lang w:val="en-US"/>
        </w:rPr>
        <w:t>The Agency’s Acts: challenging assessment reports</w:t>
      </w:r>
    </w:p>
    <w:p w14:paraId="0000000C" w14:textId="360DF435" w:rsidR="00E23BBA" w:rsidRPr="000F7187" w:rsidRDefault="006768B0">
      <w:pPr>
        <w:jc w:val="both"/>
        <w:rPr>
          <w:rFonts w:ascii="Times New Roman" w:hAnsi="Times New Roman" w:cs="Times New Roman"/>
          <w:lang w:val="en-US"/>
        </w:rPr>
      </w:pPr>
      <w:r w:rsidRPr="000F7187">
        <w:rPr>
          <w:rFonts w:ascii="Times New Roman" w:hAnsi="Times New Roman" w:cs="Times New Roman"/>
          <w:lang w:val="en-US"/>
        </w:rPr>
        <w:t>Unlike what is foreseen for other Agencies, EUAA Regulation does not explicitly refer to the Agency’s acts with regards to their legal nature and to the ways available to challenge them.</w:t>
      </w:r>
      <w:r w:rsidRPr="000F7187">
        <w:rPr>
          <w:rFonts w:ascii="Times New Roman" w:hAnsi="Times New Roman" w:cs="Times New Roman"/>
          <w:vertAlign w:val="superscript"/>
        </w:rPr>
        <w:footnoteReference w:id="23"/>
      </w:r>
      <w:r w:rsidRPr="000F7187">
        <w:rPr>
          <w:rFonts w:ascii="Times New Roman" w:hAnsi="Times New Roman" w:cs="Times New Roman"/>
          <w:lang w:val="en-US"/>
        </w:rPr>
        <w:t xml:space="preserve"> According to its founding legislation, the activities to be carried out by EUAA are supposed to materialize in “tools of a non-binding nature” such as “operational standards, indicators and guidelines”.</w:t>
      </w:r>
      <w:r w:rsidRPr="000F7187">
        <w:rPr>
          <w:rFonts w:ascii="Times New Roman" w:hAnsi="Times New Roman" w:cs="Times New Roman"/>
          <w:vertAlign w:val="superscript"/>
        </w:rPr>
        <w:footnoteReference w:id="24"/>
      </w:r>
      <w:r w:rsidR="008F5382" w:rsidRPr="000F7187">
        <w:rPr>
          <w:rFonts w:ascii="Times New Roman" w:hAnsi="Times New Roman" w:cs="Times New Roman"/>
          <w:lang w:val="en-US"/>
        </w:rPr>
        <w:t xml:space="preserve"> </w:t>
      </w:r>
      <w:r w:rsidRPr="000F7187">
        <w:rPr>
          <w:rFonts w:ascii="Times New Roman" w:hAnsi="Times New Roman" w:cs="Times New Roman"/>
          <w:lang w:val="en-US"/>
        </w:rPr>
        <w:t xml:space="preserve">The </w:t>
      </w:r>
      <w:r w:rsidR="00DE5383">
        <w:rPr>
          <w:rFonts w:ascii="Times New Roman" w:hAnsi="Times New Roman" w:cs="Times New Roman"/>
          <w:lang w:val="en-US"/>
        </w:rPr>
        <w:t>O</w:t>
      </w:r>
      <w:r w:rsidRPr="000F7187">
        <w:rPr>
          <w:rFonts w:ascii="Times New Roman" w:hAnsi="Times New Roman" w:cs="Times New Roman"/>
          <w:lang w:val="en-US"/>
        </w:rPr>
        <w:t xml:space="preserve">perational </w:t>
      </w:r>
      <w:r w:rsidR="00DE5383">
        <w:rPr>
          <w:rFonts w:ascii="Times New Roman" w:hAnsi="Times New Roman" w:cs="Times New Roman"/>
          <w:lang w:val="en-US"/>
        </w:rPr>
        <w:t>P</w:t>
      </w:r>
      <w:r w:rsidRPr="000F7187">
        <w:rPr>
          <w:rFonts w:ascii="Times New Roman" w:hAnsi="Times New Roman" w:cs="Times New Roman"/>
          <w:lang w:val="en-US"/>
        </w:rPr>
        <w:t xml:space="preserve">lan (OP) signed with Malta mentions among the acts of the Agency </w:t>
      </w:r>
      <w:r w:rsidR="006208BD">
        <w:rPr>
          <w:rFonts w:ascii="Times New Roman" w:hAnsi="Times New Roman" w:cs="Times New Roman"/>
          <w:lang w:val="en-US"/>
        </w:rPr>
        <w:t xml:space="preserve">some </w:t>
      </w:r>
      <w:r w:rsidRPr="000F7187">
        <w:rPr>
          <w:rFonts w:ascii="Times New Roman" w:hAnsi="Times New Roman" w:cs="Times New Roman"/>
          <w:lang w:val="en-US"/>
        </w:rPr>
        <w:t>“assessment reports” to be drafted by EUAA and to be delivered to support national authorities in the asylum decision-making processes.</w:t>
      </w:r>
      <w:r w:rsidRPr="000F7187">
        <w:rPr>
          <w:rFonts w:ascii="Times New Roman" w:hAnsi="Times New Roman" w:cs="Times New Roman"/>
          <w:vertAlign w:val="superscript"/>
        </w:rPr>
        <w:footnoteReference w:id="25"/>
      </w:r>
      <w:r w:rsidRPr="000F7187">
        <w:rPr>
          <w:rFonts w:ascii="Times New Roman" w:hAnsi="Times New Roman" w:cs="Times New Roman"/>
          <w:lang w:val="en-US"/>
        </w:rPr>
        <w:t xml:space="preserve"> The purpose served by these assessment reports and the extent to which they provide mere support to national authorities or constitute discretionary decision-making tools are crucial factors to allocate responsibility. </w:t>
      </w:r>
      <w:r w:rsidR="00DE5383">
        <w:rPr>
          <w:rFonts w:ascii="Times New Roman" w:hAnsi="Times New Roman" w:cs="Times New Roman"/>
          <w:lang w:val="en-US"/>
        </w:rPr>
        <w:t xml:space="preserve">However, </w:t>
      </w:r>
      <w:r w:rsidR="00EC58F1">
        <w:rPr>
          <w:rFonts w:ascii="Times New Roman" w:hAnsi="Times New Roman" w:cs="Times New Roman"/>
          <w:lang w:val="en-US"/>
        </w:rPr>
        <w:t>t</w:t>
      </w:r>
      <w:r w:rsidRPr="000F7187">
        <w:rPr>
          <w:rFonts w:ascii="Times New Roman" w:hAnsi="Times New Roman" w:cs="Times New Roman"/>
          <w:lang w:val="en-US"/>
        </w:rPr>
        <w:t xml:space="preserve">he </w:t>
      </w:r>
      <w:r w:rsidR="00DE5383">
        <w:rPr>
          <w:rFonts w:ascii="Times New Roman" w:hAnsi="Times New Roman" w:cs="Times New Roman"/>
          <w:lang w:val="en-US"/>
        </w:rPr>
        <w:t>OP</w:t>
      </w:r>
      <w:r w:rsidRPr="000F7187">
        <w:rPr>
          <w:rFonts w:ascii="Times New Roman" w:hAnsi="Times New Roman" w:cs="Times New Roman"/>
          <w:lang w:val="en-US"/>
        </w:rPr>
        <w:t xml:space="preserve"> signed with Malta merely provides that the Agency</w:t>
      </w:r>
      <w:r w:rsidR="008F5382" w:rsidRPr="000F7187">
        <w:rPr>
          <w:rFonts w:ascii="Times New Roman" w:hAnsi="Times New Roman" w:cs="Times New Roman"/>
          <w:lang w:val="en-US"/>
        </w:rPr>
        <w:t xml:space="preserve"> </w:t>
      </w:r>
      <w:r w:rsidRPr="000F7187">
        <w:rPr>
          <w:rFonts w:ascii="Times New Roman" w:hAnsi="Times New Roman" w:cs="Times New Roman"/>
          <w:lang w:val="en-US"/>
        </w:rPr>
        <w:t>supports with document analysis in the first instance asylum procedure and provides assistance with registration, Dublin procedure, personal interview, drafting of evaluation reports.</w:t>
      </w:r>
      <w:r w:rsidRPr="000F7187">
        <w:rPr>
          <w:rFonts w:ascii="Times New Roman" w:hAnsi="Times New Roman" w:cs="Times New Roman"/>
          <w:vertAlign w:val="superscript"/>
        </w:rPr>
        <w:footnoteReference w:id="26"/>
      </w:r>
      <w:r w:rsidR="008F5382" w:rsidRPr="000F7187">
        <w:rPr>
          <w:rFonts w:ascii="Times New Roman" w:hAnsi="Times New Roman" w:cs="Times New Roman"/>
          <w:lang w:val="en-US"/>
        </w:rPr>
        <w:t xml:space="preserve"> </w:t>
      </w:r>
      <w:r w:rsidRPr="000F7187">
        <w:rPr>
          <w:rFonts w:ascii="Times New Roman" w:hAnsi="Times New Roman" w:cs="Times New Roman"/>
          <w:lang w:val="en-US"/>
        </w:rPr>
        <w:t xml:space="preserve">From this kind of indications it is not clear how the processing of an application is carried out by the Maltese authorities, nor what role is played in it by EUAA. </w:t>
      </w:r>
      <w:r w:rsidR="009A22FA">
        <w:rPr>
          <w:rFonts w:ascii="Times New Roman" w:hAnsi="Times New Roman" w:cs="Times New Roman"/>
          <w:lang w:val="en-US"/>
        </w:rPr>
        <w:t>S</w:t>
      </w:r>
      <w:r w:rsidRPr="000F7187">
        <w:rPr>
          <w:rFonts w:ascii="Times New Roman" w:hAnsi="Times New Roman" w:cs="Times New Roman"/>
          <w:lang w:val="en-US"/>
        </w:rPr>
        <w:t xml:space="preserve">ome </w:t>
      </w:r>
      <w:r w:rsidR="009A22FA">
        <w:rPr>
          <w:rFonts w:ascii="Times New Roman" w:hAnsi="Times New Roman" w:cs="Times New Roman"/>
          <w:lang w:val="en-US"/>
        </w:rPr>
        <w:t xml:space="preserve">practical </w:t>
      </w:r>
      <w:r w:rsidRPr="000F7187">
        <w:rPr>
          <w:rFonts w:ascii="Times New Roman" w:hAnsi="Times New Roman" w:cs="Times New Roman"/>
          <w:lang w:val="en-US"/>
        </w:rPr>
        <w:t xml:space="preserve">aspects </w:t>
      </w:r>
      <w:r w:rsidR="0031734F" w:rsidRPr="000F7187">
        <w:rPr>
          <w:rFonts w:ascii="Times New Roman" w:hAnsi="Times New Roman" w:cs="Times New Roman"/>
          <w:lang w:val="en-US"/>
        </w:rPr>
        <w:t xml:space="preserve">of the way </w:t>
      </w:r>
      <w:r w:rsidRPr="000F7187">
        <w:rPr>
          <w:rFonts w:ascii="Times New Roman" w:hAnsi="Times New Roman" w:cs="Times New Roman"/>
          <w:lang w:val="en-US"/>
        </w:rPr>
        <w:t>in which</w:t>
      </w:r>
      <w:r w:rsidR="0031734F" w:rsidRPr="000F7187">
        <w:rPr>
          <w:rFonts w:ascii="Times New Roman" w:hAnsi="Times New Roman" w:cs="Times New Roman"/>
          <w:lang w:val="en-US"/>
        </w:rPr>
        <w:t xml:space="preserve"> t</w:t>
      </w:r>
      <w:r w:rsidRPr="000F7187">
        <w:rPr>
          <w:rFonts w:ascii="Times New Roman" w:hAnsi="Times New Roman" w:cs="Times New Roman"/>
          <w:lang w:val="en-US"/>
        </w:rPr>
        <w:t xml:space="preserve">he Agency’s ‘assessment reports’ are formed and adopted makes a difference in its engagement in individual decisions. For example, one thing is to conduct the interview at the basis of the credibility assessment in the presence of national authorities, another is to conduct it in complete autonomy. Another relevant element is how the assessment reports are created. If for example the Agency’s staff drafts its considerations on paper headed by national authorities, the observations of the two would blend and the possibility to discern </w:t>
      </w:r>
      <w:r w:rsidRPr="000F7187">
        <w:rPr>
          <w:rFonts w:ascii="Times New Roman" w:hAnsi="Times New Roman" w:cs="Times New Roman"/>
          <w:lang w:val="en-US"/>
        </w:rPr>
        <w:lastRenderedPageBreak/>
        <w:t xml:space="preserve">who decided what would be ruled out. In such cases a credibility assessment leading to a certain decision could be the result of various elements assessed differently by EU and national staff. Also, the procedure through which the authorities embrace or refuse the Agency’s assessments is not specified in the OP nor in national legislation. In case of diverging opinions between the Agency and national officers, no standards procedures are established to ensure the transparency of the decision-making. In 2019 it was reported that an area of potential contention between EASO and national authorities emerged with regards to the type of protection to be recognized to nationals of countries such as Syria and Eritrea, given that Malta grants subsidiary protection in the overwhelming majority of cases. In that particular case, the Maltese immigration authorities declared to have had discussions with EASO </w:t>
      </w:r>
      <w:r w:rsidRPr="000F7187">
        <w:rPr>
          <w:rFonts w:ascii="Times New Roman" w:hAnsi="Times New Roman" w:cs="Times New Roman"/>
          <w:color w:val="111111"/>
          <w:highlight w:val="white"/>
          <w:lang w:val="en-US"/>
        </w:rPr>
        <w:t xml:space="preserve">prior </w:t>
      </w:r>
      <w:r w:rsidRPr="000F7187">
        <w:rPr>
          <w:rFonts w:ascii="Times New Roman" w:hAnsi="Times New Roman" w:cs="Times New Roman"/>
          <w:lang w:val="en-US"/>
        </w:rPr>
        <w:t>to referring Sudan cases to the Agency’s Caseworkers, in order to acquaint them with national policy and to ensure that the Agency aligned its practice accordingly.</w:t>
      </w:r>
      <w:r w:rsidRPr="000F7187">
        <w:rPr>
          <w:rFonts w:ascii="Times New Roman" w:hAnsi="Times New Roman" w:cs="Times New Roman"/>
          <w:vertAlign w:val="superscript"/>
        </w:rPr>
        <w:footnoteReference w:id="27"/>
      </w:r>
      <w:r w:rsidRPr="000F7187">
        <w:rPr>
          <w:rFonts w:ascii="Times New Roman" w:hAnsi="Times New Roman" w:cs="Times New Roman"/>
          <w:lang w:val="en-US"/>
        </w:rPr>
        <w:t xml:space="preserve"> The informality of these procedures imperil the certainty of law on one hand and the role of the EU Agency as producer of technical -</w:t>
      </w:r>
      <w:r w:rsidR="0040208F">
        <w:rPr>
          <w:rFonts w:ascii="Times New Roman" w:hAnsi="Times New Roman" w:cs="Times New Roman"/>
          <w:lang w:val="en-US"/>
        </w:rPr>
        <w:t xml:space="preserve"> </w:t>
      </w:r>
      <w:r w:rsidRPr="000F7187">
        <w:rPr>
          <w:rFonts w:ascii="Times New Roman" w:hAnsi="Times New Roman" w:cs="Times New Roman"/>
          <w:lang w:val="en-US"/>
        </w:rPr>
        <w:t xml:space="preserve">and impartial - knowledge on the other. </w:t>
      </w:r>
    </w:p>
    <w:p w14:paraId="0000000D" w14:textId="52D7F71E" w:rsidR="00E23BBA" w:rsidRPr="000F7187" w:rsidRDefault="006768B0">
      <w:pPr>
        <w:jc w:val="both"/>
        <w:rPr>
          <w:rFonts w:ascii="Times New Roman" w:hAnsi="Times New Roman" w:cs="Times New Roman"/>
          <w:lang w:val="en-US"/>
        </w:rPr>
      </w:pPr>
      <w:r w:rsidRPr="000F7187">
        <w:rPr>
          <w:rFonts w:ascii="Times New Roman" w:hAnsi="Times New Roman" w:cs="Times New Roman"/>
          <w:lang w:val="en-US"/>
        </w:rPr>
        <w:t>Furthermore, the practice of differentiating the interviewer from the person formally entitled to take the final decision also raises some doubts regarding the compliance with EU law. In particular, Article 14 of the Procedure Directive states that: ‘[..]Personal interviews on the substance of the application for international protection shall be conducted by the personnel of the determining authority’.</w:t>
      </w:r>
      <w:r w:rsidRPr="000F7187">
        <w:rPr>
          <w:rFonts w:ascii="Times New Roman" w:hAnsi="Times New Roman" w:cs="Times New Roman"/>
          <w:vertAlign w:val="superscript"/>
        </w:rPr>
        <w:footnoteReference w:id="28"/>
      </w:r>
      <w:r w:rsidRPr="000F7187">
        <w:rPr>
          <w:rFonts w:ascii="Times New Roman" w:hAnsi="Times New Roman" w:cs="Times New Roman"/>
          <w:lang w:val="en-US"/>
        </w:rPr>
        <w:t xml:space="preserve"> As the determining authority is formally the Maltese International Protection Agency, the norm would require its own staff to carry out</w:t>
      </w:r>
      <w:r w:rsidR="008F5382" w:rsidRPr="000F7187">
        <w:rPr>
          <w:rFonts w:ascii="Times New Roman" w:hAnsi="Times New Roman" w:cs="Times New Roman"/>
          <w:lang w:val="en-US"/>
        </w:rPr>
        <w:t xml:space="preserve"> </w:t>
      </w:r>
      <w:r w:rsidRPr="000F7187">
        <w:rPr>
          <w:rFonts w:ascii="Times New Roman" w:hAnsi="Times New Roman" w:cs="Times New Roman"/>
          <w:lang w:val="en-US"/>
        </w:rPr>
        <w:t>the interview. In addition, the Qualification Directive regards the credibility assessment, included in the Agency’s mentioned reports, as constituting one of the crucial elements to assess the eligibility of the applicant for international protection.</w:t>
      </w:r>
      <w:r w:rsidRPr="000F7187">
        <w:rPr>
          <w:rFonts w:ascii="Times New Roman" w:hAnsi="Times New Roman" w:cs="Times New Roman"/>
          <w:vertAlign w:val="superscript"/>
        </w:rPr>
        <w:footnoteReference w:id="29"/>
      </w:r>
      <w:r w:rsidRPr="000F7187">
        <w:rPr>
          <w:rFonts w:ascii="Times New Roman" w:hAnsi="Times New Roman" w:cs="Times New Roman"/>
          <w:lang w:val="en-US"/>
        </w:rPr>
        <w:t xml:space="preserve"> As regards the step that follows the interview, the CJEU held that the examination of the application for international protection by the determining authority is a “vital</w:t>
      </w:r>
      <w:r w:rsidRPr="000F7187">
        <w:rPr>
          <w:rFonts w:ascii="Times New Roman" w:hAnsi="Times New Roman" w:cs="Times New Roman"/>
          <w:i/>
          <w:lang w:val="en-US"/>
        </w:rPr>
        <w:t xml:space="preserve"> </w:t>
      </w:r>
      <w:r w:rsidRPr="000F7187">
        <w:rPr>
          <w:rFonts w:ascii="Times New Roman" w:hAnsi="Times New Roman" w:cs="Times New Roman"/>
          <w:lang w:val="en-US"/>
        </w:rPr>
        <w:t>stage” of the common procedures established by the Asylum Procedures Directive.</w:t>
      </w:r>
      <w:r w:rsidRPr="000F7187">
        <w:rPr>
          <w:rFonts w:ascii="Times New Roman" w:hAnsi="Times New Roman" w:cs="Times New Roman"/>
          <w:vertAlign w:val="superscript"/>
        </w:rPr>
        <w:footnoteReference w:id="30"/>
      </w:r>
      <w:r w:rsidRPr="000F7187">
        <w:rPr>
          <w:rFonts w:ascii="Times New Roman" w:hAnsi="Times New Roman" w:cs="Times New Roman"/>
          <w:lang w:val="en-US"/>
        </w:rPr>
        <w:t xml:space="preserve"> If this vital stage builds upon the preceding interview conducted exclusively by EUAA, it is legitimate to doubt that the decision would be heavily affected - to say the least - by the evaluation given by the people present during the preceding phase. The risk which emerges is that national authorities simply endorse decisions that, essentially, have been taken by the Agency, which in turn assumed a leading role during the entire administrative procedure or most of it.</w:t>
      </w:r>
      <w:r w:rsidRPr="000F7187">
        <w:rPr>
          <w:rFonts w:ascii="Times New Roman" w:hAnsi="Times New Roman" w:cs="Times New Roman"/>
          <w:vertAlign w:val="superscript"/>
        </w:rPr>
        <w:footnoteReference w:id="31"/>
      </w:r>
      <w:r w:rsidRPr="000F7187">
        <w:rPr>
          <w:rFonts w:ascii="Times New Roman" w:hAnsi="Times New Roman" w:cs="Times New Roman"/>
          <w:lang w:val="en-US"/>
        </w:rPr>
        <w:t xml:space="preserve"> </w:t>
      </w:r>
      <w:r w:rsidR="00EC58F1" w:rsidRPr="000F7187">
        <w:rPr>
          <w:rFonts w:ascii="Times New Roman" w:hAnsi="Times New Roman" w:cs="Times New Roman"/>
          <w:lang w:val="en-US"/>
        </w:rPr>
        <w:t>On EUAA’s website it is emphasized that “</w:t>
      </w:r>
      <w:r w:rsidR="00EC58F1" w:rsidRPr="000F7187">
        <w:rPr>
          <w:rFonts w:ascii="Times New Roman" w:hAnsi="Times New Roman" w:cs="Times New Roman"/>
          <w:highlight w:val="white"/>
          <w:lang w:val="en-US"/>
        </w:rPr>
        <w:t>The Agency does not replace the national asylum or reception authorities, which are ultimately entirely responsible for their procedures and systems”</w:t>
      </w:r>
      <w:r w:rsidR="00EC58F1" w:rsidRPr="000F7187">
        <w:rPr>
          <w:rFonts w:ascii="Times New Roman" w:hAnsi="Times New Roman" w:cs="Times New Roman"/>
          <w:lang w:val="en-US"/>
        </w:rPr>
        <w:t>.</w:t>
      </w:r>
      <w:r w:rsidR="00EC58F1" w:rsidRPr="000F7187">
        <w:rPr>
          <w:rFonts w:ascii="Times New Roman" w:hAnsi="Times New Roman" w:cs="Times New Roman"/>
          <w:vertAlign w:val="superscript"/>
        </w:rPr>
        <w:footnoteReference w:id="32"/>
      </w:r>
      <w:r w:rsidR="00EC58F1" w:rsidRPr="000F7187">
        <w:rPr>
          <w:rFonts w:ascii="Times New Roman" w:hAnsi="Times New Roman" w:cs="Times New Roman"/>
          <w:lang w:val="en-US"/>
        </w:rPr>
        <w:t xml:space="preserve"> The reference to an entire responsibility of its national counterparts tends to downplay the Agency’s role in those procedures and systems. Nonetheless,</w:t>
      </w:r>
      <w:r w:rsidR="009A22FA">
        <w:rPr>
          <w:rFonts w:ascii="Times New Roman" w:hAnsi="Times New Roman" w:cs="Times New Roman"/>
          <w:lang w:val="en-US"/>
        </w:rPr>
        <w:t xml:space="preserve"> a</w:t>
      </w:r>
      <w:r w:rsidR="00EC58F1" w:rsidRPr="000F7187">
        <w:rPr>
          <w:rFonts w:ascii="Times New Roman" w:hAnsi="Times New Roman" w:cs="Times New Roman"/>
          <w:lang w:val="en-US"/>
        </w:rPr>
        <w:t xml:space="preserve">ccording to the CJEU case-law, in order to determine whether an act produces binding legal effects, it is necessary to examine the substance of that act and to assess its effects on the basis of objective criteria, such as its content. The Court specified that it might be taken into account: </w:t>
      </w:r>
      <w:r w:rsidR="00EC58F1" w:rsidRPr="000F7187">
        <w:rPr>
          <w:rFonts w:ascii="Times New Roman" w:hAnsi="Times New Roman" w:cs="Times New Roman"/>
          <w:lang w:val="en-US"/>
        </w:rPr>
        <w:lastRenderedPageBreak/>
        <w:t>1. the context in which the act was adopted; 2. the powers of the institution which adopted the act.</w:t>
      </w:r>
      <w:r w:rsidR="00EC58F1" w:rsidRPr="000F7187">
        <w:rPr>
          <w:rFonts w:ascii="Times New Roman" w:hAnsi="Times New Roman" w:cs="Times New Roman"/>
          <w:vertAlign w:val="superscript"/>
        </w:rPr>
        <w:footnoteReference w:id="33"/>
      </w:r>
      <w:r w:rsidR="00EC58F1" w:rsidRPr="000F7187">
        <w:rPr>
          <w:rFonts w:ascii="Times New Roman" w:hAnsi="Times New Roman" w:cs="Times New Roman"/>
          <w:lang w:val="en-US"/>
        </w:rPr>
        <w:t xml:space="preserve"> As regards the latter, it follows from primary law that the final decision on international protection is formally attributable only to national authorities. Article 78(2)(e) of the TFEU in fact states that “the competence for the examination of international protection applications ultimately rests upon Member States”.</w:t>
      </w:r>
      <w:r w:rsidR="00EC58F1" w:rsidRPr="000F7187">
        <w:rPr>
          <w:rFonts w:ascii="Times New Roman" w:hAnsi="Times New Roman" w:cs="Times New Roman"/>
          <w:vertAlign w:val="superscript"/>
        </w:rPr>
        <w:footnoteReference w:id="34"/>
      </w:r>
      <w:r w:rsidR="00EC58F1" w:rsidRPr="000F7187">
        <w:rPr>
          <w:rFonts w:ascii="Times New Roman" w:hAnsi="Times New Roman" w:cs="Times New Roman"/>
          <w:lang w:val="en-US"/>
        </w:rPr>
        <w:t xml:space="preserve"> The ‘ultimately’ seems to give a peremptory indication, thus presenting as irrelevant what happens in the step preceding the decision when establishing who is responsible. However, as pointed out by the CJEU, the context in which an act is adopted is critical to understand its authorship</w:t>
      </w:r>
      <w:r w:rsidR="009A22FA">
        <w:rPr>
          <w:rFonts w:ascii="Times New Roman" w:hAnsi="Times New Roman" w:cs="Times New Roman"/>
          <w:lang w:val="en-US"/>
        </w:rPr>
        <w:t xml:space="preserve"> and the involvement of the Agency in crucial phases raises some doubts with regards to its neutrality</w:t>
      </w:r>
      <w:r w:rsidR="00EC58F1" w:rsidRPr="000F7187">
        <w:rPr>
          <w:rFonts w:ascii="Times New Roman" w:hAnsi="Times New Roman" w:cs="Times New Roman"/>
          <w:lang w:val="en-US"/>
        </w:rPr>
        <w:t>.</w:t>
      </w:r>
      <w:r w:rsidR="00EC58F1" w:rsidRPr="000F7187">
        <w:rPr>
          <w:rFonts w:ascii="Times New Roman" w:hAnsi="Times New Roman" w:cs="Times New Roman"/>
          <w:vertAlign w:val="superscript"/>
        </w:rPr>
        <w:footnoteReference w:id="35"/>
      </w:r>
    </w:p>
    <w:p w14:paraId="0000000E" w14:textId="77777777" w:rsidR="00E23BBA" w:rsidRPr="000F7187" w:rsidRDefault="00E23BBA">
      <w:pPr>
        <w:jc w:val="both"/>
        <w:rPr>
          <w:rFonts w:ascii="Times New Roman" w:hAnsi="Times New Roman" w:cs="Times New Roman"/>
          <w:lang w:val="en-US"/>
        </w:rPr>
      </w:pPr>
    </w:p>
    <w:p w14:paraId="0000000F" w14:textId="3AA014AF" w:rsidR="00E23BBA" w:rsidRPr="009C3ACD" w:rsidRDefault="00EC58F1">
      <w:pPr>
        <w:jc w:val="both"/>
        <w:rPr>
          <w:rFonts w:ascii="Times New Roman" w:hAnsi="Times New Roman" w:cs="Times New Roman"/>
          <w:b/>
          <w:iCs/>
          <w:lang w:val="en-US"/>
        </w:rPr>
      </w:pPr>
      <w:r w:rsidRPr="009C3ACD">
        <w:rPr>
          <w:rFonts w:ascii="Times New Roman" w:hAnsi="Times New Roman" w:cs="Times New Roman"/>
          <w:b/>
          <w:iCs/>
          <w:lang w:val="en-US"/>
        </w:rPr>
        <w:t xml:space="preserve">III. </w:t>
      </w:r>
      <w:r w:rsidR="006768B0" w:rsidRPr="009C3ACD">
        <w:rPr>
          <w:rFonts w:ascii="Times New Roman" w:hAnsi="Times New Roman" w:cs="Times New Roman"/>
          <w:b/>
          <w:iCs/>
          <w:lang w:val="en-US"/>
        </w:rPr>
        <w:t xml:space="preserve"> Remedies to acts</w:t>
      </w:r>
    </w:p>
    <w:p w14:paraId="00000010" w14:textId="77777777" w:rsidR="00E23BBA" w:rsidRPr="000F7187" w:rsidRDefault="00E23BBA">
      <w:pPr>
        <w:jc w:val="both"/>
        <w:rPr>
          <w:rFonts w:ascii="Times New Roman" w:hAnsi="Times New Roman" w:cs="Times New Roman"/>
          <w:lang w:val="en-US"/>
        </w:rPr>
      </w:pPr>
    </w:p>
    <w:p w14:paraId="00000011" w14:textId="3C0F34BF" w:rsidR="00E23BBA" w:rsidRPr="000F7187" w:rsidRDefault="006768B0">
      <w:pPr>
        <w:jc w:val="both"/>
        <w:rPr>
          <w:rFonts w:ascii="Times New Roman" w:eastAsia="Times New Roman" w:hAnsi="Times New Roman" w:cs="Times New Roman"/>
          <w:b/>
          <w:lang w:val="en-US"/>
        </w:rPr>
      </w:pPr>
      <w:r w:rsidRPr="000F7187">
        <w:rPr>
          <w:rFonts w:ascii="Times New Roman" w:hAnsi="Times New Roman" w:cs="Times New Roman"/>
          <w:lang w:val="en-US"/>
        </w:rPr>
        <w:t>Article 263 TFEU provides the legal basis for the review of the Agencies’ acts, as it states that the CJEU holds judicial scrutiny over the legality of the acts of bodies, offices or agencies of the Union.</w:t>
      </w:r>
      <w:r w:rsidRPr="000F7187">
        <w:rPr>
          <w:rFonts w:ascii="Times New Roman" w:hAnsi="Times New Roman" w:cs="Times New Roman"/>
          <w:vertAlign w:val="superscript"/>
        </w:rPr>
        <w:footnoteReference w:id="36"/>
      </w:r>
      <w:r w:rsidRPr="000F7187">
        <w:rPr>
          <w:rFonts w:ascii="Times New Roman" w:hAnsi="Times New Roman" w:cs="Times New Roman"/>
          <w:lang w:val="en-US"/>
        </w:rPr>
        <w:t xml:space="preserve"> However, the judicial control over EUAA’s acts affecting individual asylum decisions presents some limits resulting from 1. the unclear allocation of tasks; 2. the CJEU’s position on the matter. As regards the latter, the CJEU limited its scrutiny to the acts of EU Agencies which </w:t>
      </w:r>
      <w:r w:rsidR="0040208F">
        <w:rPr>
          <w:rFonts w:ascii="Times New Roman" w:hAnsi="Times New Roman" w:cs="Times New Roman"/>
          <w:lang w:val="en-US"/>
        </w:rPr>
        <w:t xml:space="preserve">produces effects </w:t>
      </w:r>
      <w:r w:rsidR="0040208F" w:rsidRPr="0040208F">
        <w:rPr>
          <w:rFonts w:ascii="Times New Roman" w:hAnsi="Times New Roman" w:cs="Times New Roman"/>
          <w:i/>
          <w:iCs/>
          <w:lang w:val="en-US"/>
        </w:rPr>
        <w:t>vis à vis</w:t>
      </w:r>
      <w:r w:rsidR="0040208F">
        <w:rPr>
          <w:rFonts w:ascii="Times New Roman" w:hAnsi="Times New Roman" w:cs="Times New Roman"/>
          <w:lang w:val="en-US"/>
        </w:rPr>
        <w:t xml:space="preserve"> third parties</w:t>
      </w:r>
      <w:r w:rsidRPr="000F7187">
        <w:rPr>
          <w:rFonts w:ascii="Times New Roman" w:hAnsi="Times New Roman" w:cs="Times New Roman"/>
          <w:lang w:val="en-US"/>
        </w:rPr>
        <w:t>.</w:t>
      </w:r>
      <w:r w:rsidRPr="000F7187">
        <w:rPr>
          <w:rFonts w:ascii="Times New Roman" w:hAnsi="Times New Roman" w:cs="Times New Roman"/>
          <w:vertAlign w:val="superscript"/>
        </w:rPr>
        <w:footnoteReference w:id="37"/>
      </w:r>
      <w:r w:rsidRPr="000F7187">
        <w:rPr>
          <w:rFonts w:ascii="Times New Roman" w:hAnsi="Times New Roman" w:cs="Times New Roman"/>
          <w:lang w:val="en-US"/>
        </w:rPr>
        <w:t xml:space="preserve"> The formal status of the act does not prevent </w:t>
      </w:r>
      <w:r w:rsidRPr="000F7187">
        <w:rPr>
          <w:rFonts w:ascii="Times New Roman" w:hAnsi="Times New Roman" w:cs="Times New Roman"/>
          <w:i/>
          <w:lang w:val="en-US"/>
        </w:rPr>
        <w:t>per se</w:t>
      </w:r>
      <w:r w:rsidRPr="000F7187">
        <w:rPr>
          <w:rFonts w:ascii="Times New Roman" w:hAnsi="Times New Roman" w:cs="Times New Roman"/>
          <w:lang w:val="en-US"/>
        </w:rPr>
        <w:t xml:space="preserve"> its reviewability by the CJEU,</w:t>
      </w:r>
      <w:r w:rsidRPr="000F7187">
        <w:rPr>
          <w:rFonts w:ascii="Times New Roman" w:hAnsi="Times New Roman" w:cs="Times New Roman"/>
          <w:vertAlign w:val="superscript"/>
        </w:rPr>
        <w:footnoteReference w:id="38"/>
      </w:r>
      <w:r w:rsidRPr="000F7187">
        <w:rPr>
          <w:rFonts w:ascii="Times New Roman" w:hAnsi="Times New Roman" w:cs="Times New Roman"/>
          <w:lang w:val="en-US"/>
        </w:rPr>
        <w:t xml:space="preserve"> so the circumstance for which EUAA’s acts are formally non-binding would not in principle impede an annulment action ex art 263 TFEU. Nonetheless, the CJEU’s position on the reviewability of the agencies’ preparatory acts seems to bar this remedy.</w:t>
      </w:r>
      <w:r w:rsidRPr="000F7187">
        <w:rPr>
          <w:rFonts w:ascii="Times New Roman" w:hAnsi="Times New Roman" w:cs="Times New Roman"/>
          <w:vertAlign w:val="superscript"/>
        </w:rPr>
        <w:footnoteReference w:id="39"/>
      </w:r>
      <w:r w:rsidRPr="000F7187">
        <w:rPr>
          <w:rFonts w:ascii="Times New Roman" w:hAnsi="Times New Roman" w:cs="Times New Roman"/>
          <w:lang w:val="en-US"/>
        </w:rPr>
        <w:t xml:space="preserve"> In fact, as regards decisions taken on the basis of opinions of an authority from a different jurisdiction - such as a formally Maltese national decision taken on the basis of an EUAA’s assessment report - the Court stated that such opinions must be considered as evidence that the national court should take into consideration.</w:t>
      </w:r>
      <w:r w:rsidRPr="000F7187">
        <w:rPr>
          <w:rFonts w:ascii="Times New Roman" w:hAnsi="Times New Roman" w:cs="Times New Roman"/>
          <w:vertAlign w:val="superscript"/>
        </w:rPr>
        <w:footnoteReference w:id="40"/>
      </w:r>
      <w:r w:rsidRPr="000F7187">
        <w:rPr>
          <w:rFonts w:ascii="Times New Roman" w:hAnsi="Times New Roman" w:cs="Times New Roman"/>
          <w:lang w:val="en-US"/>
        </w:rPr>
        <w:t xml:space="preserve"> The Court’s position thus expresses a preference for indirect judicial oversight by domestic courts, thus giving rise to a situation in which the administrative level is becoming more 'integrated' while the judicial system remains based on a strict separation between the EU and the national levels of jurisdiction.</w:t>
      </w:r>
      <w:r w:rsidRPr="000F7187">
        <w:rPr>
          <w:rFonts w:ascii="Times New Roman" w:hAnsi="Times New Roman" w:cs="Times New Roman"/>
          <w:vertAlign w:val="superscript"/>
        </w:rPr>
        <w:footnoteReference w:id="41"/>
      </w:r>
      <w:r w:rsidRPr="000F7187">
        <w:rPr>
          <w:rFonts w:ascii="Times New Roman" w:hAnsi="Times New Roman" w:cs="Times New Roman"/>
          <w:lang w:val="en-US"/>
        </w:rPr>
        <w:t xml:space="preserve"> This approach has been criticized by commentators who noted that agencies increasingly exercise </w:t>
      </w:r>
      <w:r w:rsidRPr="000F7187">
        <w:rPr>
          <w:rFonts w:ascii="Times New Roman" w:hAnsi="Times New Roman" w:cs="Times New Roman"/>
          <w:i/>
          <w:lang w:val="en-US"/>
        </w:rPr>
        <w:t xml:space="preserve">de facto </w:t>
      </w:r>
      <w:r w:rsidRPr="000F7187">
        <w:rPr>
          <w:rFonts w:ascii="Times New Roman" w:hAnsi="Times New Roman" w:cs="Times New Roman"/>
          <w:lang w:val="en-US"/>
        </w:rPr>
        <w:t>decision-making and regulatory powers also through non-binding acts, thus raising concerns with regard to the effectiveness of the range of remedies provided.</w:t>
      </w:r>
      <w:r w:rsidRPr="000F7187">
        <w:rPr>
          <w:rFonts w:ascii="Times New Roman" w:hAnsi="Times New Roman" w:cs="Times New Roman"/>
          <w:vertAlign w:val="superscript"/>
        </w:rPr>
        <w:footnoteReference w:id="42"/>
      </w:r>
      <w:r w:rsidRPr="000F7187">
        <w:rPr>
          <w:rFonts w:ascii="Times New Roman" w:hAnsi="Times New Roman" w:cs="Times New Roman"/>
          <w:lang w:val="en-US"/>
        </w:rPr>
        <w:t xml:space="preserve"> Two main</w:t>
      </w:r>
      <w:r w:rsidR="008F5382" w:rsidRPr="000F7187">
        <w:rPr>
          <w:rFonts w:ascii="Times New Roman" w:hAnsi="Times New Roman" w:cs="Times New Roman"/>
          <w:lang w:val="en-US"/>
        </w:rPr>
        <w:t xml:space="preserve"> </w:t>
      </w:r>
      <w:r w:rsidRPr="000F7187">
        <w:rPr>
          <w:rFonts w:ascii="Times New Roman" w:hAnsi="Times New Roman" w:cs="Times New Roman"/>
          <w:lang w:val="en-US"/>
        </w:rPr>
        <w:t xml:space="preserve">problems arise with regard to the reviewability of EUAA’s acts by the Maltese national Court. First, as mentioned before, the tracking of the decisions and the informal directives that could be given by either the Agency or the authorities to each other pose some challenges to the determination of the substantial authorship of the act. Second, the national Court may be reluctant to inquire into the merits of the acts of an Agency </w:t>
      </w:r>
      <w:r w:rsidRPr="000F7187">
        <w:rPr>
          <w:rFonts w:ascii="Times New Roman" w:hAnsi="Times New Roman" w:cs="Times New Roman"/>
          <w:lang w:val="en-US"/>
        </w:rPr>
        <w:lastRenderedPageBreak/>
        <w:t xml:space="preserve">which was employed because of its expertise. </w:t>
      </w:r>
      <w:r w:rsidR="009A22FA" w:rsidRPr="000F7187">
        <w:rPr>
          <w:rFonts w:ascii="Times New Roman" w:hAnsi="Times New Roman" w:cs="Times New Roman"/>
          <w:lang w:val="en-US"/>
        </w:rPr>
        <w:t>The same CJEU expressed its self-restraint regarding the technical evaluation given by agencies, putting the agencies’ expertise as the reason for their limited judicial review.</w:t>
      </w:r>
      <w:r w:rsidR="009A22FA" w:rsidRPr="000F7187">
        <w:rPr>
          <w:rFonts w:ascii="Times New Roman" w:hAnsi="Times New Roman" w:cs="Times New Roman"/>
          <w:vertAlign w:val="superscript"/>
        </w:rPr>
        <w:footnoteReference w:id="43"/>
      </w:r>
      <w:r w:rsidR="009A22FA" w:rsidRPr="000F7187">
        <w:rPr>
          <w:rFonts w:ascii="Times New Roman" w:hAnsi="Times New Roman" w:cs="Times New Roman"/>
          <w:lang w:val="en-US"/>
        </w:rPr>
        <w:t xml:space="preserve"> Therefore, there are legitimate reasons to suppose that national Courts would show the same deference at the prospect of evaluations given by experts. </w:t>
      </w:r>
      <w:r w:rsidR="004F1712">
        <w:rPr>
          <w:rFonts w:ascii="Times New Roman" w:hAnsi="Times New Roman" w:cs="Times New Roman"/>
          <w:lang w:val="en-US"/>
        </w:rPr>
        <w:t xml:space="preserve">In any case, the </w:t>
      </w:r>
      <w:r w:rsidR="004F1712" w:rsidRPr="009A22FA">
        <w:rPr>
          <w:rFonts w:ascii="Times New Roman" w:hAnsi="Times New Roman" w:cs="Times New Roman"/>
          <w:i/>
          <w:iCs/>
          <w:lang w:val="en-US"/>
        </w:rPr>
        <w:t xml:space="preserve">Foto-Frost </w:t>
      </w:r>
      <w:r w:rsidR="004F1712">
        <w:rPr>
          <w:rFonts w:ascii="Times New Roman" w:hAnsi="Times New Roman" w:cs="Times New Roman"/>
          <w:lang w:val="en-US"/>
        </w:rPr>
        <w:t xml:space="preserve">doctrine would impede the </w:t>
      </w:r>
      <w:r w:rsidR="00B963A9">
        <w:rPr>
          <w:rFonts w:ascii="Times New Roman" w:hAnsi="Times New Roman" w:cs="Times New Roman"/>
          <w:lang w:val="en-US"/>
        </w:rPr>
        <w:t xml:space="preserve">national </w:t>
      </w:r>
      <w:r w:rsidR="004F1712">
        <w:rPr>
          <w:rFonts w:ascii="Times New Roman" w:hAnsi="Times New Roman" w:cs="Times New Roman"/>
          <w:lang w:val="en-US"/>
        </w:rPr>
        <w:t xml:space="preserve">court to annul a Community act. </w:t>
      </w:r>
    </w:p>
    <w:p w14:paraId="00000012" w14:textId="77777777" w:rsidR="00E23BBA" w:rsidRPr="000F7187" w:rsidRDefault="006768B0">
      <w:pPr>
        <w:jc w:val="both"/>
        <w:rPr>
          <w:rFonts w:ascii="Times New Roman" w:hAnsi="Times New Roman" w:cs="Times New Roman"/>
          <w:lang w:val="en-US"/>
        </w:rPr>
      </w:pPr>
      <w:r w:rsidRPr="000F7187">
        <w:rPr>
          <w:rFonts w:ascii="Times New Roman" w:hAnsi="Times New Roman" w:cs="Times New Roman"/>
          <w:lang w:val="en-US"/>
        </w:rPr>
        <w:tab/>
      </w:r>
      <w:r w:rsidRPr="000F7187">
        <w:rPr>
          <w:rFonts w:ascii="Times New Roman" w:hAnsi="Times New Roman" w:cs="Times New Roman"/>
          <w:lang w:val="en-US"/>
        </w:rPr>
        <w:tab/>
      </w:r>
      <w:r w:rsidRPr="000F7187">
        <w:rPr>
          <w:rFonts w:ascii="Times New Roman" w:hAnsi="Times New Roman" w:cs="Times New Roman"/>
          <w:lang w:val="en-US"/>
        </w:rPr>
        <w:tab/>
      </w:r>
      <w:r w:rsidRPr="000F7187">
        <w:rPr>
          <w:rFonts w:ascii="Times New Roman" w:hAnsi="Times New Roman" w:cs="Times New Roman"/>
          <w:lang w:val="en-US"/>
        </w:rPr>
        <w:tab/>
      </w:r>
    </w:p>
    <w:p w14:paraId="00000013" w14:textId="152FB887" w:rsidR="00E23BBA" w:rsidRPr="000F7187" w:rsidRDefault="00EC58F1" w:rsidP="00EC58F1">
      <w:pPr>
        <w:rPr>
          <w:rFonts w:ascii="Times New Roman" w:hAnsi="Times New Roman" w:cs="Times New Roman"/>
          <w:b/>
          <w:lang w:val="en-US"/>
        </w:rPr>
      </w:pPr>
      <w:r>
        <w:rPr>
          <w:rFonts w:ascii="Times New Roman" w:hAnsi="Times New Roman" w:cs="Times New Roman"/>
          <w:b/>
          <w:lang w:val="en-US"/>
        </w:rPr>
        <w:t xml:space="preserve">IV. </w:t>
      </w:r>
      <w:r w:rsidR="006768B0" w:rsidRPr="000F7187">
        <w:rPr>
          <w:rFonts w:ascii="Times New Roman" w:hAnsi="Times New Roman" w:cs="Times New Roman"/>
          <w:b/>
          <w:lang w:val="en-US"/>
        </w:rPr>
        <w:t>The Agency’s action: challenging factual conduct</w:t>
      </w:r>
    </w:p>
    <w:p w14:paraId="00000014" w14:textId="19BAE962" w:rsidR="00E23BBA" w:rsidRPr="000F7187" w:rsidRDefault="006768B0">
      <w:pPr>
        <w:spacing w:before="240"/>
        <w:jc w:val="both"/>
        <w:rPr>
          <w:rFonts w:ascii="Times New Roman" w:hAnsi="Times New Roman" w:cs="Times New Roman"/>
          <w:lang w:val="en-US"/>
        </w:rPr>
      </w:pPr>
      <w:r w:rsidRPr="000F7187">
        <w:rPr>
          <w:rFonts w:ascii="Times New Roman" w:hAnsi="Times New Roman" w:cs="Times New Roman"/>
          <w:lang w:val="en-US"/>
        </w:rPr>
        <w:t>The unclear allocation of tasks has particularly challenging consequences with regards to the Agency’s “factual” conduct, i.e. conduct that does not necessarily lead up to the adoption of a</w:t>
      </w:r>
      <w:r w:rsidR="008F5382" w:rsidRPr="000F7187">
        <w:rPr>
          <w:rFonts w:ascii="Times New Roman" w:hAnsi="Times New Roman" w:cs="Times New Roman"/>
          <w:lang w:val="en-US"/>
        </w:rPr>
        <w:t>n</w:t>
      </w:r>
      <w:r w:rsidRPr="000F7187">
        <w:rPr>
          <w:rFonts w:ascii="Times New Roman" w:hAnsi="Times New Roman" w:cs="Times New Roman"/>
          <w:lang w:val="en-US"/>
        </w:rPr>
        <w:t xml:space="preserve"> act, but which is still able to affect the administrative procedure. Such conduct can take the shape of a preparatory activity and, in spite of not bringing about a conclusive change in the legal position of the affected party, it adds or incorporates elements to it.</w:t>
      </w:r>
      <w:r w:rsidRPr="000F7187">
        <w:rPr>
          <w:rFonts w:ascii="Times New Roman" w:hAnsi="Times New Roman" w:cs="Times New Roman"/>
          <w:vertAlign w:val="superscript"/>
        </w:rPr>
        <w:footnoteReference w:id="44"/>
      </w:r>
      <w:r w:rsidRPr="000F7187">
        <w:rPr>
          <w:rFonts w:ascii="Times New Roman" w:hAnsi="Times New Roman" w:cs="Times New Roman"/>
          <w:lang w:val="en-US"/>
        </w:rPr>
        <w:t xml:space="preserve"> Multi-phased processes such as the asylum procedure are stud with factual acts: the provision of information to asylum seekers or the management of activities in hotspots during registration or interviews for international protection are practical examples of how such factual acts can affect procedural and fundamental rights of asylum seekers. In the case of EUAA’ s involvement in refugee status determination, the procedure spans different jurisdictional levels, making the review of the legality of such acts a complex matter. An overview of the context in which EUAA is called to operate in Malta will serve to clarify the reasons why violations in the form of factual conduct are likely to occur. </w:t>
      </w:r>
    </w:p>
    <w:p w14:paraId="00000015" w14:textId="6229DA86" w:rsidR="00E23BBA" w:rsidRPr="000F7187" w:rsidRDefault="006768B0">
      <w:pPr>
        <w:spacing w:before="240"/>
        <w:jc w:val="both"/>
        <w:rPr>
          <w:rFonts w:ascii="Times New Roman" w:hAnsi="Times New Roman" w:cs="Times New Roman"/>
          <w:highlight w:val="white"/>
          <w:lang w:val="en-US"/>
        </w:rPr>
      </w:pPr>
      <w:r w:rsidRPr="000F7187">
        <w:rPr>
          <w:rFonts w:ascii="Times New Roman" w:hAnsi="Times New Roman" w:cs="Times New Roman"/>
          <w:lang w:val="en-US"/>
        </w:rPr>
        <w:t>In Malta EUAA conducts a large part of its operations in the detention center of Safi.</w:t>
      </w:r>
      <w:r w:rsidRPr="000F7187">
        <w:rPr>
          <w:rFonts w:ascii="Times New Roman" w:hAnsi="Times New Roman" w:cs="Times New Roman"/>
          <w:vertAlign w:val="superscript"/>
        </w:rPr>
        <w:footnoteReference w:id="45"/>
      </w:r>
      <w:r w:rsidRPr="000F7187">
        <w:rPr>
          <w:rFonts w:ascii="Times New Roman" w:hAnsi="Times New Roman" w:cs="Times New Roman"/>
          <w:lang w:val="en-US"/>
        </w:rPr>
        <w:t xml:space="preserve"> The detention of asylum seekers in the island has a long history, as it was mandatory until 2015. In that year the reform of the reception system ensured compliance with the Reception Regulation and outlawed the automatic detention. However, from summer 2018 onwards, due to lack of space available in overcrowded reception centers, all asylum seekers except families and young children have been automatically detained upon arrival.</w:t>
      </w:r>
      <w:r w:rsidRPr="000F7187">
        <w:rPr>
          <w:rFonts w:ascii="Times New Roman" w:hAnsi="Times New Roman" w:cs="Times New Roman"/>
          <w:vertAlign w:val="superscript"/>
        </w:rPr>
        <w:footnoteReference w:id="46"/>
      </w:r>
      <w:r w:rsidRPr="000F7187">
        <w:rPr>
          <w:rFonts w:ascii="Times New Roman" w:hAnsi="Times New Roman" w:cs="Times New Roman"/>
          <w:lang w:val="en-US"/>
        </w:rPr>
        <w:t xml:space="preserve"> Minors and vulnerable applicants were officially not supposed to be detained, but since all applicants arriving irregularly were brought to detention without any form of assessment, vulnerable applicants and minors were detained for months before a proper assessment was conducted. During the pandemics emergency, the authorities stated that the detention was related to COVID-19 measures and that it was ordered on the basis of the Prevention of the Disease Ordinance.</w:t>
      </w:r>
      <w:r w:rsidRPr="000F7187">
        <w:rPr>
          <w:rFonts w:ascii="Times New Roman" w:hAnsi="Times New Roman" w:cs="Times New Roman"/>
          <w:vertAlign w:val="superscript"/>
        </w:rPr>
        <w:footnoteReference w:id="47"/>
      </w:r>
      <w:r w:rsidRPr="000F7187">
        <w:rPr>
          <w:rFonts w:ascii="Times New Roman" w:hAnsi="Times New Roman" w:cs="Times New Roman"/>
          <w:lang w:val="en-US"/>
        </w:rPr>
        <w:t xml:space="preserve"> However, no information or documentation on said measures was provided to detained persons and the detention often continued way beyond acceptable quarantine time-frames. In September 2020 1400 asylum seekers were detained,</w:t>
      </w:r>
      <w:r w:rsidRPr="000F7187">
        <w:rPr>
          <w:rFonts w:ascii="Times New Roman" w:hAnsi="Times New Roman" w:cs="Times New Roman"/>
          <w:vertAlign w:val="superscript"/>
        </w:rPr>
        <w:footnoteReference w:id="48"/>
      </w:r>
      <w:r w:rsidRPr="000F7187">
        <w:rPr>
          <w:rFonts w:ascii="Times New Roman" w:hAnsi="Times New Roman" w:cs="Times New Roman"/>
          <w:lang w:val="en-US"/>
        </w:rPr>
        <w:t xml:space="preserve"> while in 2021 838 migrants were held under such measures, with 134 migrants still detained at the end of year, amounting to the total number of arrivals by boat.</w:t>
      </w:r>
      <w:r w:rsidRPr="000F7187">
        <w:rPr>
          <w:rFonts w:ascii="Times New Roman" w:hAnsi="Times New Roman" w:cs="Times New Roman"/>
          <w:vertAlign w:val="superscript"/>
        </w:rPr>
        <w:footnoteReference w:id="49"/>
      </w:r>
      <w:r w:rsidRPr="000F7187">
        <w:rPr>
          <w:rFonts w:ascii="Times New Roman" w:hAnsi="Times New Roman" w:cs="Times New Roman"/>
          <w:lang w:val="en-US"/>
        </w:rPr>
        <w:t xml:space="preserve"> The conditions of the detention center of Safi have been deemed as “bordering on inhuman and degrading treatment as a </w:t>
      </w:r>
      <w:r w:rsidRPr="000F7187">
        <w:rPr>
          <w:rFonts w:ascii="Times New Roman" w:hAnsi="Times New Roman" w:cs="Times New Roman"/>
          <w:lang w:val="en-US"/>
        </w:rPr>
        <w:lastRenderedPageBreak/>
        <w:t>consequence of the institutional neglect” by the European Committee for the Prevention of Torture and Inhuman or Degrading Treatment or Punishment (CPT).</w:t>
      </w:r>
      <w:r w:rsidRPr="000F7187">
        <w:rPr>
          <w:rFonts w:ascii="Times New Roman" w:hAnsi="Times New Roman" w:cs="Times New Roman"/>
          <w:vertAlign w:val="superscript"/>
        </w:rPr>
        <w:footnoteReference w:id="50"/>
      </w:r>
      <w:r w:rsidRPr="000F7187">
        <w:rPr>
          <w:rFonts w:ascii="Times New Roman" w:hAnsi="Times New Roman" w:cs="Times New Roman"/>
          <w:lang w:val="en-US"/>
        </w:rPr>
        <w:t xml:space="preserve"> In addition to the poor reception conditions, some practices such as handcuffing asylum seekers while taking walks and not providing information on the length of their detention and the reasons on which it was based constitute blatant violations of human rights.</w:t>
      </w:r>
      <w:r w:rsidRPr="000F7187">
        <w:rPr>
          <w:rFonts w:ascii="Times New Roman" w:hAnsi="Times New Roman" w:cs="Times New Roman"/>
          <w:vertAlign w:val="superscript"/>
        </w:rPr>
        <w:footnoteReference w:id="51"/>
      </w:r>
      <w:r w:rsidRPr="000F7187">
        <w:rPr>
          <w:rFonts w:ascii="Times New Roman" w:hAnsi="Times New Roman" w:cs="Times New Roman"/>
          <w:lang w:val="en-US"/>
        </w:rPr>
        <w:t xml:space="preserve"> The participation of EUAA staff on a daily basis in such a place raises some questions with regards to its indirect involvement in human rights violations, considering also that it has been reported that violations have been denounced by asylum seekers to the Agency’s personnel.</w:t>
      </w:r>
      <w:r w:rsidRPr="000F7187">
        <w:rPr>
          <w:rFonts w:ascii="Times New Roman" w:hAnsi="Times New Roman" w:cs="Times New Roman"/>
          <w:vertAlign w:val="superscript"/>
        </w:rPr>
        <w:footnoteReference w:id="52"/>
      </w:r>
      <w:r w:rsidR="008F5382" w:rsidRPr="000F7187">
        <w:rPr>
          <w:rFonts w:ascii="Times New Roman" w:hAnsi="Times New Roman" w:cs="Times New Roman"/>
          <w:color w:val="0000FF"/>
          <w:vertAlign w:val="superscript"/>
          <w:lang w:val="en-US"/>
        </w:rPr>
        <w:t xml:space="preserve"> </w:t>
      </w:r>
      <w:r w:rsidRPr="000F7187">
        <w:rPr>
          <w:rFonts w:ascii="Times New Roman" w:hAnsi="Times New Roman" w:cs="Times New Roman"/>
          <w:lang w:val="en-US"/>
        </w:rPr>
        <w:t>The OP signed by EUAA with Malta states that: “During the implementation of this Plan, all personnel must apply a zero-tolerance attitude with respect to the infringement of fundamental human rights”.</w:t>
      </w:r>
      <w:r w:rsidRPr="000F7187">
        <w:rPr>
          <w:rFonts w:ascii="Times New Roman" w:hAnsi="Times New Roman" w:cs="Times New Roman"/>
          <w:vertAlign w:val="superscript"/>
        </w:rPr>
        <w:footnoteReference w:id="53"/>
      </w:r>
      <w:r w:rsidRPr="000F7187">
        <w:rPr>
          <w:rFonts w:ascii="Times New Roman" w:hAnsi="Times New Roman" w:cs="Times New Roman"/>
          <w:lang w:val="en-US"/>
        </w:rPr>
        <w:t xml:space="preserve"> However, if the Agency’s operations are conducted in a place where violations occur systematically, it is hardly possible that the ‘zero-tolerance attitude’ is respected, at least in terms of witnessing the violations and refraining from taking action. This raises complex questions as to how </w:t>
      </w:r>
      <w:r w:rsidRPr="000F7187">
        <w:rPr>
          <w:rFonts w:ascii="Times New Roman" w:hAnsi="Times New Roman" w:cs="Times New Roman"/>
          <w:highlight w:val="white"/>
          <w:lang w:val="en-US"/>
        </w:rPr>
        <w:t>the presence of EUAA validates implicitly practices not in compliance with EU law and how asylum seekers could ask for redress</w:t>
      </w:r>
      <w:r w:rsidR="00B14A12">
        <w:rPr>
          <w:rFonts w:ascii="Times New Roman" w:hAnsi="Times New Roman" w:cs="Times New Roman"/>
          <w:highlight w:val="white"/>
          <w:lang w:val="en-US"/>
        </w:rPr>
        <w:t xml:space="preserve"> as for factual conduct there is no formal act that can be challenged through the</w:t>
      </w:r>
      <w:r w:rsidR="00D65067">
        <w:rPr>
          <w:rFonts w:ascii="Times New Roman" w:hAnsi="Times New Roman" w:cs="Times New Roman"/>
          <w:highlight w:val="white"/>
          <w:lang w:val="en-US"/>
        </w:rPr>
        <w:t xml:space="preserve"> </w:t>
      </w:r>
      <w:r w:rsidR="001359F3">
        <w:rPr>
          <w:rFonts w:ascii="Times New Roman" w:hAnsi="Times New Roman" w:cs="Times New Roman"/>
          <w:highlight w:val="white"/>
          <w:lang w:val="en-US"/>
        </w:rPr>
        <w:t>actions analyzed in section III</w:t>
      </w:r>
      <w:r w:rsidR="00B14A12">
        <w:rPr>
          <w:rFonts w:ascii="Times New Roman" w:hAnsi="Times New Roman" w:cs="Times New Roman"/>
          <w:highlight w:val="white"/>
          <w:lang w:val="en-US"/>
        </w:rPr>
        <w:t xml:space="preserve">. </w:t>
      </w:r>
    </w:p>
    <w:p w14:paraId="00000016" w14:textId="77777777" w:rsidR="00E23BBA" w:rsidRPr="009C3ACD" w:rsidRDefault="00E23BBA">
      <w:pPr>
        <w:jc w:val="both"/>
        <w:rPr>
          <w:rFonts w:ascii="Times New Roman" w:hAnsi="Times New Roman" w:cs="Times New Roman"/>
          <w:iCs/>
          <w:highlight w:val="white"/>
          <w:lang w:val="en-US"/>
        </w:rPr>
      </w:pPr>
    </w:p>
    <w:p w14:paraId="00000017" w14:textId="0049E6CD" w:rsidR="00E23BBA" w:rsidRPr="009C3ACD" w:rsidRDefault="00EC58F1">
      <w:pPr>
        <w:spacing w:before="240"/>
        <w:jc w:val="both"/>
        <w:rPr>
          <w:rFonts w:ascii="Times New Roman" w:hAnsi="Times New Roman" w:cs="Times New Roman"/>
          <w:b/>
          <w:iCs/>
          <w:lang w:val="en-US"/>
        </w:rPr>
      </w:pPr>
      <w:r w:rsidRPr="009C3ACD">
        <w:rPr>
          <w:rFonts w:ascii="Times New Roman" w:hAnsi="Times New Roman" w:cs="Times New Roman"/>
          <w:b/>
          <w:iCs/>
          <w:lang w:val="en-US"/>
        </w:rPr>
        <w:t>V.</w:t>
      </w:r>
      <w:r w:rsidR="006768B0" w:rsidRPr="009C3ACD">
        <w:rPr>
          <w:rFonts w:ascii="Times New Roman" w:hAnsi="Times New Roman" w:cs="Times New Roman"/>
          <w:b/>
          <w:iCs/>
          <w:lang w:val="en-US"/>
        </w:rPr>
        <w:t xml:space="preserve"> Remedies to factual conduct</w:t>
      </w:r>
    </w:p>
    <w:p w14:paraId="00000018" w14:textId="23BA7FC4" w:rsidR="00E23BBA" w:rsidRPr="000F7187" w:rsidRDefault="006768B0">
      <w:pPr>
        <w:spacing w:before="240"/>
        <w:jc w:val="both"/>
        <w:rPr>
          <w:rFonts w:ascii="Times New Roman" w:hAnsi="Times New Roman" w:cs="Times New Roman"/>
          <w:lang w:val="en-US"/>
        </w:rPr>
      </w:pPr>
      <w:r w:rsidRPr="000F7187">
        <w:rPr>
          <w:rFonts w:ascii="Times New Roman" w:hAnsi="Times New Roman" w:cs="Times New Roman"/>
          <w:highlight w:val="white"/>
          <w:lang w:val="en-US"/>
        </w:rPr>
        <w:t xml:space="preserve">In case of fundamental rights violations </w:t>
      </w:r>
      <w:r w:rsidRPr="000F7187">
        <w:rPr>
          <w:rFonts w:ascii="Times New Roman" w:hAnsi="Times New Roman" w:cs="Times New Roman"/>
          <w:lang w:val="en-US"/>
        </w:rPr>
        <w:t>MS can be held accountable before their own national courts and before international courts, in this case notably the European Court of Human Rights (ECtHR).</w:t>
      </w:r>
      <w:r w:rsidR="008F5382" w:rsidRPr="000F7187">
        <w:rPr>
          <w:rFonts w:ascii="Times New Roman" w:hAnsi="Times New Roman" w:cs="Times New Roman"/>
          <w:lang w:val="en-US"/>
        </w:rPr>
        <w:t xml:space="preserve"> </w:t>
      </w:r>
      <w:r w:rsidRPr="000F7187">
        <w:rPr>
          <w:rFonts w:ascii="Times New Roman" w:hAnsi="Times New Roman" w:cs="Times New Roman"/>
          <w:lang w:val="en-US"/>
        </w:rPr>
        <w:t>Malta was in fact condemned several times by the ECtHR for the detention conditions of individuals awaiting immigration proceedings.</w:t>
      </w:r>
      <w:r w:rsidRPr="000F7187">
        <w:rPr>
          <w:rFonts w:ascii="Times New Roman" w:hAnsi="Times New Roman" w:cs="Times New Roman"/>
          <w:vertAlign w:val="superscript"/>
        </w:rPr>
        <w:footnoteReference w:id="54"/>
      </w:r>
      <w:r w:rsidRPr="000F7187">
        <w:rPr>
          <w:rFonts w:ascii="Times New Roman" w:hAnsi="Times New Roman" w:cs="Times New Roman"/>
          <w:lang w:val="en-US"/>
        </w:rPr>
        <w:t xml:space="preserve"> </w:t>
      </w:r>
      <w:r w:rsidRPr="000F7187">
        <w:rPr>
          <w:rFonts w:ascii="Times New Roman" w:hAnsi="Times New Roman" w:cs="Times New Roman"/>
          <w:highlight w:val="white"/>
          <w:lang w:val="en-US"/>
        </w:rPr>
        <w:t>However, EUAA being</w:t>
      </w:r>
      <w:r w:rsidR="008F5382" w:rsidRPr="000F7187">
        <w:rPr>
          <w:rFonts w:ascii="Times New Roman" w:hAnsi="Times New Roman" w:cs="Times New Roman"/>
          <w:highlight w:val="white"/>
          <w:lang w:val="en-US"/>
        </w:rPr>
        <w:t xml:space="preserve"> </w:t>
      </w:r>
      <w:r w:rsidRPr="000F7187">
        <w:rPr>
          <w:rFonts w:ascii="Times New Roman" w:hAnsi="Times New Roman" w:cs="Times New Roman"/>
          <w:highlight w:val="white"/>
          <w:lang w:val="en-US"/>
        </w:rPr>
        <w:t xml:space="preserve">an EU body, this </w:t>
      </w:r>
      <w:r w:rsidRPr="000F7187">
        <w:rPr>
          <w:rFonts w:ascii="Times New Roman" w:hAnsi="Times New Roman" w:cs="Times New Roman"/>
          <w:lang w:val="en-US"/>
        </w:rPr>
        <w:t xml:space="preserve">solution is not available to hold the Agency responsible for the indirect involvement in a fundamental rights violation, as </w:t>
      </w:r>
      <w:r w:rsidRPr="000F7187">
        <w:rPr>
          <w:rFonts w:ascii="Times New Roman" w:eastAsia="Roboto" w:hAnsi="Times New Roman" w:cs="Times New Roman"/>
          <w:highlight w:val="white"/>
          <w:lang w:val="en-US"/>
        </w:rPr>
        <w:t xml:space="preserve">the EU is not </w:t>
      </w:r>
      <w:r w:rsidR="003D15FF" w:rsidRPr="000F7187">
        <w:rPr>
          <w:rFonts w:ascii="Times New Roman" w:eastAsia="Roboto" w:hAnsi="Times New Roman" w:cs="Times New Roman"/>
          <w:highlight w:val="white"/>
          <w:lang w:val="en-US"/>
        </w:rPr>
        <w:t xml:space="preserve">(yet) </w:t>
      </w:r>
      <w:r w:rsidRPr="000F7187">
        <w:rPr>
          <w:rFonts w:ascii="Times New Roman" w:eastAsia="Roboto" w:hAnsi="Times New Roman" w:cs="Times New Roman"/>
          <w:highlight w:val="white"/>
          <w:lang w:val="en-US"/>
        </w:rPr>
        <w:t>a party to the ECHR</w:t>
      </w:r>
      <w:r w:rsidRPr="000F7187">
        <w:rPr>
          <w:rFonts w:ascii="Times New Roman" w:hAnsi="Times New Roman" w:cs="Times New Roman"/>
          <w:lang w:val="en-US"/>
        </w:rPr>
        <w:t xml:space="preserve">. Three more venues could be potentially envisaged. </w:t>
      </w:r>
    </w:p>
    <w:p w14:paraId="00000019" w14:textId="158090C1" w:rsidR="00E23BBA" w:rsidRPr="000F7187" w:rsidRDefault="006768B0">
      <w:pPr>
        <w:spacing w:before="240"/>
        <w:jc w:val="both"/>
        <w:rPr>
          <w:rFonts w:ascii="Times New Roman" w:hAnsi="Times New Roman" w:cs="Times New Roman"/>
          <w:lang w:val="en-US"/>
        </w:rPr>
      </w:pPr>
      <w:r w:rsidRPr="000F7187">
        <w:rPr>
          <w:rFonts w:ascii="Times New Roman" w:hAnsi="Times New Roman" w:cs="Times New Roman"/>
          <w:lang w:val="en-US"/>
        </w:rPr>
        <w:t>First, Article 51 (2) of EUAA Regulation provides for a complaint mechanism, which was introduced in January 2022. The provision states that ‘any person who is directly affected by the actions of an expert participating in an asylum support team, and who considers that his or her fundamental rights have been violated due to those actions, or any party representing such a person, may submit a complaint in writing to the Agency.’ Although the attempt to provide for a form of accountability is to be welcomed, the mechanism raises some doubts with regard to its effectiveness. First, the provision states that the mechanism is not to be used for claims against a national authority’s decision.</w:t>
      </w:r>
      <w:r w:rsidRPr="000F7187">
        <w:rPr>
          <w:rFonts w:ascii="Times New Roman" w:hAnsi="Times New Roman" w:cs="Times New Roman"/>
          <w:vertAlign w:val="superscript"/>
        </w:rPr>
        <w:footnoteReference w:id="55"/>
      </w:r>
      <w:r w:rsidRPr="000F7187">
        <w:rPr>
          <w:rFonts w:ascii="Times New Roman" w:hAnsi="Times New Roman" w:cs="Times New Roman"/>
          <w:lang w:val="en-US"/>
        </w:rPr>
        <w:t xml:space="preserve"> However, as explained above, the participation of EUAA in the field merges into the decision formally attributable to national authorities. Therefore, doubts about the accessibility of this mechanism arise.</w:t>
      </w:r>
      <w:r w:rsidRPr="000F7187">
        <w:rPr>
          <w:rFonts w:ascii="Times New Roman" w:hAnsi="Times New Roman" w:cs="Times New Roman"/>
          <w:vertAlign w:val="superscript"/>
        </w:rPr>
        <w:footnoteReference w:id="56"/>
      </w:r>
      <w:r w:rsidRPr="000F7187">
        <w:rPr>
          <w:rFonts w:ascii="Times New Roman" w:hAnsi="Times New Roman" w:cs="Times New Roman"/>
          <w:lang w:val="en-US"/>
        </w:rPr>
        <w:t xml:space="preserve"> Second, </w:t>
      </w:r>
      <w:r w:rsidRPr="000F7187">
        <w:rPr>
          <w:rFonts w:ascii="Times New Roman" w:hAnsi="Times New Roman" w:cs="Times New Roman"/>
          <w:lang w:val="en-US"/>
        </w:rPr>
        <w:lastRenderedPageBreak/>
        <w:t>although the provision underlines the need</w:t>
      </w:r>
      <w:r w:rsidR="008F5382" w:rsidRPr="000F7187">
        <w:rPr>
          <w:rFonts w:ascii="Times New Roman" w:hAnsi="Times New Roman" w:cs="Times New Roman"/>
          <w:lang w:val="en-US"/>
        </w:rPr>
        <w:t xml:space="preserve"> </w:t>
      </w:r>
      <w:r w:rsidRPr="000F7187">
        <w:rPr>
          <w:rFonts w:ascii="Times New Roman" w:hAnsi="Times New Roman" w:cs="Times New Roman"/>
          <w:lang w:val="en-US"/>
        </w:rPr>
        <w:t xml:space="preserve">to ensure adequate follow up, no form of redress for the victims of fundamental rights violations has been established. </w:t>
      </w:r>
    </w:p>
    <w:p w14:paraId="0000001A" w14:textId="77777777" w:rsidR="00E23BBA" w:rsidRPr="000F7187" w:rsidRDefault="006768B0">
      <w:pPr>
        <w:spacing w:before="240"/>
        <w:jc w:val="both"/>
        <w:rPr>
          <w:rFonts w:ascii="Times New Roman" w:hAnsi="Times New Roman" w:cs="Times New Roman"/>
          <w:highlight w:val="white"/>
          <w:lang w:val="en-US"/>
        </w:rPr>
      </w:pPr>
      <w:r w:rsidRPr="000F7187">
        <w:rPr>
          <w:rFonts w:ascii="Times New Roman" w:hAnsi="Times New Roman" w:cs="Times New Roman"/>
          <w:lang w:val="en-US"/>
        </w:rPr>
        <w:t xml:space="preserve">Second, an action for failure to act ex article 265 TFEU could be brought. In fact, Article 18(6)(c) of EUAA Regulation states that </w:t>
      </w:r>
      <w:r w:rsidRPr="000F7187">
        <w:rPr>
          <w:rFonts w:ascii="Times New Roman" w:hAnsi="Times New Roman" w:cs="Times New Roman"/>
          <w:highlight w:val="white"/>
          <w:lang w:val="en-US"/>
        </w:rPr>
        <w:t>the Executive Director shall, after informing the host Member State, suspend or terminate, in whole or in part, the deployment of asylum support teams where the ED considers that there are violations of fundamental rights or international protection obligations by the host Member State that are of a serious nature or are likely to persist. Given that Malta has been recently condemned by the ECtHR and heavily criticized by the CPT for the treatment of asylum seekers, the Agency should have suspended its operation following the indications of the Regulation. An action for failure to act has been recently brought against Frontex, which however, has pleaded the action to be manifestly inadmissible as the Agency states that the incidents for which the action was brought were isolated ones and therefore the conditions required by Frontex Regulation were not fulfilled.</w:t>
      </w:r>
      <w:r w:rsidRPr="000F7187">
        <w:rPr>
          <w:rFonts w:ascii="Times New Roman" w:hAnsi="Times New Roman" w:cs="Times New Roman"/>
          <w:highlight w:val="white"/>
          <w:vertAlign w:val="superscript"/>
        </w:rPr>
        <w:footnoteReference w:id="57"/>
      </w:r>
      <w:r w:rsidRPr="000F7187">
        <w:rPr>
          <w:rFonts w:ascii="Times New Roman" w:hAnsi="Times New Roman" w:cs="Times New Roman"/>
          <w:highlight w:val="white"/>
          <w:lang w:val="en-US"/>
        </w:rPr>
        <w:t xml:space="preserve"> It is still to be seen how the Court will decide on the case, as the outcome could be relevant for the remedies available to hold EUAA accountable.</w:t>
      </w:r>
    </w:p>
    <w:p w14:paraId="45B4071C" w14:textId="4D842876" w:rsidR="00437797" w:rsidRPr="00437797" w:rsidRDefault="006768B0" w:rsidP="00437797">
      <w:pPr>
        <w:spacing w:before="240"/>
        <w:jc w:val="both"/>
        <w:rPr>
          <w:rFonts w:ascii="Times New Roman" w:hAnsi="Times New Roman" w:cs="Times New Roman"/>
          <w:lang w:val="en-US"/>
        </w:rPr>
      </w:pPr>
      <w:r w:rsidRPr="000F7187">
        <w:rPr>
          <w:rFonts w:ascii="Times New Roman" w:hAnsi="Times New Roman" w:cs="Times New Roman"/>
          <w:lang w:val="en-US"/>
        </w:rPr>
        <w:t>Finally, some commentators noted that an action for damages as provided in Article 340(2) of TFEU and Article 66 EUAA Regulation could be a suitable procedure in this context.</w:t>
      </w:r>
      <w:r w:rsidRPr="000F7187">
        <w:rPr>
          <w:rFonts w:ascii="Times New Roman" w:hAnsi="Times New Roman" w:cs="Times New Roman"/>
          <w:vertAlign w:val="superscript"/>
        </w:rPr>
        <w:footnoteReference w:id="58"/>
      </w:r>
      <w:r w:rsidRPr="000F7187">
        <w:rPr>
          <w:rFonts w:ascii="Times New Roman" w:hAnsi="Times New Roman" w:cs="Times New Roman"/>
          <w:lang w:val="en-US"/>
        </w:rPr>
        <w:t xml:space="preserve"> Considering the problems explored above in employing the action for annulment ex article 263, </w:t>
      </w:r>
      <w:r w:rsidR="00437797" w:rsidRPr="000F7187">
        <w:rPr>
          <w:rFonts w:ascii="Times New Roman" w:hAnsi="Times New Roman" w:cs="Times New Roman"/>
          <w:lang w:val="en-US"/>
        </w:rPr>
        <w:t xml:space="preserve">the action </w:t>
      </w:r>
      <w:r w:rsidR="00437797">
        <w:rPr>
          <w:rFonts w:ascii="Times New Roman" w:hAnsi="Times New Roman" w:cs="Times New Roman"/>
          <w:lang w:val="en-US"/>
        </w:rPr>
        <w:t xml:space="preserve">for </w:t>
      </w:r>
      <w:r w:rsidR="00437797" w:rsidRPr="000F7187">
        <w:rPr>
          <w:rFonts w:ascii="Times New Roman" w:hAnsi="Times New Roman" w:cs="Times New Roman"/>
          <w:lang w:val="en-US"/>
        </w:rPr>
        <w:t xml:space="preserve">damages has </w:t>
      </w:r>
      <w:r w:rsidR="00437797">
        <w:rPr>
          <w:rFonts w:ascii="Times New Roman" w:hAnsi="Times New Roman" w:cs="Times New Roman"/>
          <w:lang w:val="en-US"/>
        </w:rPr>
        <w:t>been proposed as a mean to ensure</w:t>
      </w:r>
      <w:r w:rsidR="00437797" w:rsidRPr="000F7187">
        <w:rPr>
          <w:rFonts w:ascii="Times New Roman" w:hAnsi="Times New Roman" w:cs="Times New Roman"/>
          <w:lang w:val="en-US"/>
        </w:rPr>
        <w:t xml:space="preserve"> the right to an effective remedy</w:t>
      </w:r>
      <w:r w:rsidR="00437797">
        <w:rPr>
          <w:rFonts w:ascii="Times New Roman" w:hAnsi="Times New Roman" w:cs="Times New Roman"/>
          <w:lang w:val="en-US"/>
        </w:rPr>
        <w:t>,</w:t>
      </w:r>
      <w:r w:rsidR="00437797" w:rsidRPr="000F7187">
        <w:rPr>
          <w:rFonts w:ascii="Times New Roman" w:hAnsi="Times New Roman" w:cs="Times New Roman"/>
          <w:lang w:val="en-US"/>
        </w:rPr>
        <w:t xml:space="preserve"> as examined in particular with regard to Frontex by Fink.</w:t>
      </w:r>
      <w:r w:rsidR="00437797" w:rsidRPr="000F7187">
        <w:rPr>
          <w:rFonts w:ascii="Times New Roman" w:hAnsi="Times New Roman" w:cs="Times New Roman"/>
          <w:vertAlign w:val="superscript"/>
        </w:rPr>
        <w:footnoteReference w:id="59"/>
      </w:r>
      <w:r w:rsidR="00437797">
        <w:rPr>
          <w:rFonts w:ascii="Times New Roman" w:hAnsi="Times New Roman" w:cs="Times New Roman"/>
          <w:lang w:val="en-US"/>
        </w:rPr>
        <w:t xml:space="preserve"> </w:t>
      </w:r>
      <w:r w:rsidR="00437797" w:rsidRPr="00437797">
        <w:rPr>
          <w:rFonts w:ascii="Times New Roman" w:hAnsi="Times New Roman" w:cs="Times New Roman"/>
          <w:lang w:val="en-US"/>
        </w:rPr>
        <w:t>According to the applicable case law, in order to prove the EU’s extra-contractual liability, all three elements shall cumulatively subsist: an illegal conduct of the institutions or their servants; a real and certain damage; a causal link between the conduct and the damage claimed.</w:t>
      </w:r>
      <w:r w:rsidR="00437797" w:rsidRPr="00437797">
        <w:rPr>
          <w:rFonts w:ascii="Times New Roman" w:hAnsi="Times New Roman" w:cs="Times New Roman"/>
          <w:vertAlign w:val="superscript"/>
          <w:lang w:val="it-IT"/>
        </w:rPr>
        <w:footnoteReference w:id="60"/>
      </w:r>
      <w:r w:rsidR="00437797" w:rsidRPr="00437797">
        <w:rPr>
          <w:rFonts w:ascii="Times New Roman" w:hAnsi="Times New Roman" w:cs="Times New Roman"/>
          <w:lang w:val="en-US"/>
        </w:rPr>
        <w:t xml:space="preserve"> As regards the first element, it could be easily argued that EUAA’s actions in some contexts are likely to fulfill this condition.</w:t>
      </w:r>
      <w:r w:rsidR="00437797" w:rsidRPr="00437797" w:rsidDel="005848EC">
        <w:rPr>
          <w:rFonts w:ascii="Times New Roman" w:hAnsi="Times New Roman" w:cs="Times New Roman"/>
          <w:vertAlign w:val="superscript"/>
          <w:lang w:val="en-US"/>
        </w:rPr>
        <w:t xml:space="preserve"> </w:t>
      </w:r>
      <w:r w:rsidR="00437797" w:rsidRPr="00437797">
        <w:rPr>
          <w:rFonts w:ascii="Times New Roman" w:hAnsi="Times New Roman" w:cs="Times New Roman"/>
          <w:lang w:val="en-US"/>
        </w:rPr>
        <w:t xml:space="preserve">For example, it would be unlawful to conduct an interview with asylum seekers violating their dignity </w:t>
      </w:r>
      <w:r w:rsidR="00CC4699">
        <w:rPr>
          <w:rFonts w:ascii="Times New Roman" w:hAnsi="Times New Roman" w:cs="Times New Roman"/>
          <w:lang w:val="en-US"/>
        </w:rPr>
        <w:t>or</w:t>
      </w:r>
      <w:r w:rsidR="00437797" w:rsidRPr="00437797">
        <w:rPr>
          <w:rFonts w:ascii="Times New Roman" w:hAnsi="Times New Roman" w:cs="Times New Roman"/>
          <w:lang w:val="en-US"/>
        </w:rPr>
        <w:t xml:space="preserve"> to indulge national practices blatantly violating EU law. The second element could also be easily verified, considering that fundamental rights are at stake. However</w:t>
      </w:r>
      <w:r w:rsidR="00437797">
        <w:rPr>
          <w:rFonts w:ascii="Times New Roman" w:hAnsi="Times New Roman" w:cs="Times New Roman"/>
          <w:lang w:val="en-US"/>
        </w:rPr>
        <w:t>, the</w:t>
      </w:r>
      <w:r w:rsidR="00437797" w:rsidRPr="00437797">
        <w:rPr>
          <w:rFonts w:ascii="Times New Roman" w:hAnsi="Times New Roman" w:cs="Times New Roman"/>
          <w:lang w:val="en-US"/>
        </w:rPr>
        <w:t xml:space="preserve"> causal link</w:t>
      </w:r>
      <w:r w:rsidR="00437797">
        <w:rPr>
          <w:rFonts w:ascii="Times New Roman" w:hAnsi="Times New Roman" w:cs="Times New Roman"/>
          <w:lang w:val="en-US"/>
        </w:rPr>
        <w:t xml:space="preserve"> </w:t>
      </w:r>
      <w:r w:rsidR="00437797" w:rsidRPr="00437797">
        <w:rPr>
          <w:rFonts w:ascii="Times New Roman" w:hAnsi="Times New Roman" w:cs="Times New Roman"/>
          <w:lang w:val="en-US"/>
        </w:rPr>
        <w:t>presents some hurdles as to the attribution of the conduct to the Agency. In fact, M</w:t>
      </w:r>
      <w:r w:rsidR="00CC4699">
        <w:rPr>
          <w:rFonts w:ascii="Times New Roman" w:hAnsi="Times New Roman" w:cs="Times New Roman"/>
          <w:lang w:val="en-US"/>
        </w:rPr>
        <w:t xml:space="preserve">altese </w:t>
      </w:r>
      <w:r w:rsidR="00437797" w:rsidRPr="00437797">
        <w:rPr>
          <w:rFonts w:ascii="Times New Roman" w:hAnsi="Times New Roman" w:cs="Times New Roman"/>
          <w:lang w:val="en-US"/>
        </w:rPr>
        <w:t xml:space="preserve">agents (such as the detention services in Safi detention center) work closely with the Agency’s staff, whose official mandate is that of supporting national authorities. </w:t>
      </w:r>
      <w:r w:rsidR="00CC4699">
        <w:rPr>
          <w:rFonts w:ascii="Times New Roman" w:hAnsi="Times New Roman" w:cs="Times New Roman"/>
          <w:lang w:val="en-US"/>
        </w:rPr>
        <w:t xml:space="preserve">As a consequence, </w:t>
      </w:r>
      <w:r w:rsidR="00437797" w:rsidRPr="00437797">
        <w:rPr>
          <w:rFonts w:ascii="Times New Roman" w:hAnsi="Times New Roman" w:cs="Times New Roman"/>
          <w:lang w:val="en-US"/>
        </w:rPr>
        <w:t>it would not be easy to establish whether a damage would have been caused anyways - even withou</w:t>
      </w:r>
      <w:r w:rsidR="00CC4699">
        <w:rPr>
          <w:rFonts w:ascii="Times New Roman" w:hAnsi="Times New Roman" w:cs="Times New Roman"/>
          <w:lang w:val="en-US"/>
        </w:rPr>
        <w:t xml:space="preserve">t the Agency’s </w:t>
      </w:r>
      <w:r w:rsidR="00437797" w:rsidRPr="00437797">
        <w:rPr>
          <w:rFonts w:ascii="Times New Roman" w:hAnsi="Times New Roman" w:cs="Times New Roman"/>
          <w:lang w:val="en-US"/>
        </w:rPr>
        <w:t>p</w:t>
      </w:r>
      <w:r w:rsidR="00CC4699">
        <w:rPr>
          <w:rFonts w:ascii="Times New Roman" w:hAnsi="Times New Roman" w:cs="Times New Roman"/>
          <w:lang w:val="en-US"/>
        </w:rPr>
        <w:t xml:space="preserve">resence </w:t>
      </w:r>
      <w:r w:rsidR="00437797" w:rsidRPr="00437797">
        <w:rPr>
          <w:rFonts w:ascii="Times New Roman" w:hAnsi="Times New Roman" w:cs="Times New Roman"/>
          <w:lang w:val="en-US"/>
        </w:rPr>
        <w:t xml:space="preserve">in the setting of the </w:t>
      </w:r>
      <w:r w:rsidR="00CC4699">
        <w:rPr>
          <w:rFonts w:ascii="Times New Roman" w:hAnsi="Times New Roman" w:cs="Times New Roman"/>
          <w:lang w:val="en-US"/>
        </w:rPr>
        <w:t>violation</w:t>
      </w:r>
      <w:r w:rsidR="00437797" w:rsidRPr="00437797">
        <w:rPr>
          <w:rFonts w:ascii="Times New Roman" w:hAnsi="Times New Roman" w:cs="Times New Roman"/>
          <w:lang w:val="en-US"/>
        </w:rPr>
        <w:t xml:space="preserve">. An action for damages against Frontex has been recently brought before the CJEU, the decision of which could give some useful insights to assess whether this remedy will prove to be effective and whether the Court will interpret the requirement to prove a causal link in a </w:t>
      </w:r>
      <w:r w:rsidR="00CC4699">
        <w:rPr>
          <w:rFonts w:ascii="Times New Roman" w:hAnsi="Times New Roman" w:cs="Times New Roman"/>
          <w:lang w:val="en-US"/>
        </w:rPr>
        <w:t>different way</w:t>
      </w:r>
      <w:r w:rsidR="00437797" w:rsidRPr="00437797">
        <w:rPr>
          <w:rFonts w:ascii="Times New Roman" w:hAnsi="Times New Roman" w:cs="Times New Roman"/>
          <w:lang w:val="en-US"/>
        </w:rPr>
        <w:t>.</w:t>
      </w:r>
      <w:r w:rsidR="00437797" w:rsidRPr="00437797">
        <w:rPr>
          <w:rFonts w:ascii="Times New Roman" w:hAnsi="Times New Roman" w:cs="Times New Roman"/>
          <w:vertAlign w:val="superscript"/>
          <w:lang w:val="it-IT"/>
        </w:rPr>
        <w:footnoteReference w:id="61"/>
      </w:r>
    </w:p>
    <w:p w14:paraId="0000001B" w14:textId="268194D7" w:rsidR="00E23BBA" w:rsidRPr="000F7187" w:rsidRDefault="00E23BBA">
      <w:pPr>
        <w:spacing w:before="240"/>
        <w:jc w:val="both"/>
        <w:rPr>
          <w:rFonts w:ascii="Times New Roman" w:hAnsi="Times New Roman" w:cs="Times New Roman"/>
          <w:lang w:val="en-US"/>
        </w:rPr>
      </w:pPr>
    </w:p>
    <w:p w14:paraId="0000001C" w14:textId="4F4DA3C7" w:rsidR="00E23BBA" w:rsidRPr="000F7187" w:rsidRDefault="00EC58F1">
      <w:pPr>
        <w:spacing w:before="240"/>
        <w:jc w:val="both"/>
        <w:rPr>
          <w:rFonts w:ascii="Times New Roman" w:hAnsi="Times New Roman" w:cs="Times New Roman"/>
          <w:b/>
          <w:lang w:val="en-US"/>
        </w:rPr>
      </w:pPr>
      <w:r>
        <w:rPr>
          <w:rFonts w:ascii="Times New Roman" w:hAnsi="Times New Roman" w:cs="Times New Roman"/>
          <w:b/>
          <w:lang w:val="en-US"/>
        </w:rPr>
        <w:t xml:space="preserve">VI. </w:t>
      </w:r>
      <w:r w:rsidR="006768B0" w:rsidRPr="000F7187">
        <w:rPr>
          <w:rFonts w:ascii="Times New Roman" w:hAnsi="Times New Roman" w:cs="Times New Roman"/>
          <w:b/>
          <w:lang w:val="en-US"/>
        </w:rPr>
        <w:t>Concluding observations</w:t>
      </w:r>
    </w:p>
    <w:p w14:paraId="0000001D" w14:textId="77777777" w:rsidR="00E23BBA" w:rsidRPr="000F7187" w:rsidRDefault="00E23BBA">
      <w:pPr>
        <w:rPr>
          <w:rFonts w:ascii="Times New Roman" w:hAnsi="Times New Roman" w:cs="Times New Roman"/>
          <w:color w:val="525252"/>
          <w:highlight w:val="white"/>
          <w:lang w:val="en-US"/>
        </w:rPr>
      </w:pPr>
    </w:p>
    <w:p w14:paraId="0000001E" w14:textId="5CFFA826" w:rsidR="00E23BBA" w:rsidRPr="000F7187" w:rsidRDefault="006768B0">
      <w:pPr>
        <w:jc w:val="both"/>
        <w:rPr>
          <w:rFonts w:ascii="Times New Roman" w:eastAsia="Times New Roman" w:hAnsi="Times New Roman" w:cs="Times New Roman"/>
          <w:b/>
          <w:lang w:val="en-US"/>
        </w:rPr>
      </w:pPr>
      <w:r w:rsidRPr="000F7187">
        <w:rPr>
          <w:rFonts w:ascii="Times New Roman" w:hAnsi="Times New Roman" w:cs="Times New Roman"/>
          <w:lang w:val="en-US"/>
        </w:rPr>
        <w:t xml:space="preserve">The previous sections have shown that some hurdles still exist in challenging EUAA’s activities. As analyzed, these hurdles relate to the lack of clear allocation of tasks and to a system of remedies which does not take into account the </w:t>
      </w:r>
      <w:r w:rsidRPr="000F7187">
        <w:rPr>
          <w:rFonts w:ascii="Times New Roman" w:hAnsi="Times New Roman" w:cs="Times New Roman"/>
          <w:i/>
          <w:lang w:val="en-US"/>
        </w:rPr>
        <w:t>de facto</w:t>
      </w:r>
      <w:r w:rsidRPr="000F7187">
        <w:rPr>
          <w:rFonts w:ascii="Times New Roman" w:hAnsi="Times New Roman" w:cs="Times New Roman"/>
          <w:lang w:val="en-US"/>
        </w:rPr>
        <w:t xml:space="preserve"> powers of the Agency. In the absence of clear legal indications, the risk of a situation in which a blame game emerges is high. In fact, where human rights standards are not respected (like in Safi detention center), it is likely that the authorities in the field would shirk its responsibilities counting on the presence of the authorities from the other jurisdiction present on the field. The reputation of one actor plays a role in this dynamic: in fact, the EU Agency staff is likely to be seen by national authorities and domestic Courts as holding a greater expertise which cannot be discussed. On the other hand, it is likely that the Agency staff would not impose on national authorities in the field to respect EU rules as its role should be to merely support the implementation of national policies. It could be argued then that the role of EUAA amounts to no more than that of a temp agency, providing personnel to be put at the disposal of</w:t>
      </w:r>
      <w:r w:rsidR="008F5382" w:rsidRPr="000F7187">
        <w:rPr>
          <w:rFonts w:ascii="Times New Roman" w:hAnsi="Times New Roman" w:cs="Times New Roman"/>
          <w:lang w:val="en-US"/>
        </w:rPr>
        <w:t xml:space="preserve"> </w:t>
      </w:r>
      <w:r w:rsidRPr="000F7187">
        <w:rPr>
          <w:rFonts w:ascii="Times New Roman" w:hAnsi="Times New Roman" w:cs="Times New Roman"/>
          <w:lang w:val="en-US"/>
        </w:rPr>
        <w:t>national authorities. However, the adding of this other layer</w:t>
      </w:r>
      <w:r w:rsidR="004F1712">
        <w:rPr>
          <w:rFonts w:ascii="Times New Roman" w:hAnsi="Times New Roman" w:cs="Times New Roman"/>
          <w:lang w:val="en-US"/>
        </w:rPr>
        <w:t xml:space="preserve"> </w:t>
      </w:r>
      <w:r w:rsidRPr="000F7187">
        <w:rPr>
          <w:rFonts w:ascii="Times New Roman" w:hAnsi="Times New Roman" w:cs="Times New Roman"/>
          <w:lang w:val="en-US"/>
        </w:rPr>
        <w:t>in the administrative practices is not without consequences. It was noted by Schneider and Nieswandt that: “With reference to the ‘expertise’ [EUAA] allegedly supplies, political, moral, or legal arguments are disarmed and subsumed under the logic of the neutral, efficient execution of tasks. In this way, the challenges and ambiguities of asylum administrative practices, which arguably render the field of asylum administration particularly vulnerable to heteronomous influences, are downplayed, even silenced”.</w:t>
      </w:r>
      <w:r w:rsidRPr="000F7187">
        <w:rPr>
          <w:rFonts w:ascii="Times New Roman" w:hAnsi="Times New Roman" w:cs="Times New Roman"/>
          <w:vertAlign w:val="superscript"/>
        </w:rPr>
        <w:footnoteReference w:id="62"/>
      </w:r>
      <w:r w:rsidRPr="000F7187">
        <w:rPr>
          <w:rFonts w:ascii="Times New Roman" w:hAnsi="Times New Roman" w:cs="Times New Roman"/>
          <w:lang w:val="en-US"/>
        </w:rPr>
        <w:t xml:space="preserve"> As shown by the analysis, it is particularly problematic that the insertion of this layer of experts took place in the absence of clear demarcation of tasks, responsibilities and remedies. As a consequence, its impact on the fundamental rights of individuals found a shield from accountability in the legal uncertainty which governs the cooperation between the Agency and national authorities. </w:t>
      </w:r>
    </w:p>
    <w:p w14:paraId="0000001F" w14:textId="77777777" w:rsidR="00E23BBA" w:rsidRPr="000F7187" w:rsidRDefault="00E23BBA">
      <w:pPr>
        <w:rPr>
          <w:rFonts w:ascii="Times New Roman" w:hAnsi="Times New Roman" w:cs="Times New Roman"/>
          <w:lang w:val="en-US"/>
        </w:rPr>
      </w:pPr>
    </w:p>
    <w:sectPr w:rsidR="00E23BBA" w:rsidRPr="000F7187">
      <w:headerReference w:type="even" r:id="rId9"/>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5F1D1" w14:textId="77777777" w:rsidR="00D872DC" w:rsidRDefault="00D872DC">
      <w:pPr>
        <w:spacing w:line="240" w:lineRule="auto"/>
      </w:pPr>
      <w:r>
        <w:separator/>
      </w:r>
    </w:p>
  </w:endnote>
  <w:endnote w:type="continuationSeparator" w:id="0">
    <w:p w14:paraId="68B37496" w14:textId="77777777" w:rsidR="00D872DC" w:rsidRDefault="00D872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938FB" w14:textId="77777777" w:rsidR="00D872DC" w:rsidRDefault="00D872DC">
      <w:pPr>
        <w:spacing w:line="240" w:lineRule="auto"/>
      </w:pPr>
      <w:r>
        <w:separator/>
      </w:r>
    </w:p>
  </w:footnote>
  <w:footnote w:type="continuationSeparator" w:id="0">
    <w:p w14:paraId="1F06C264" w14:textId="77777777" w:rsidR="00D872DC" w:rsidRDefault="00D872DC">
      <w:pPr>
        <w:spacing w:line="240" w:lineRule="auto"/>
      </w:pPr>
      <w:r>
        <w:continuationSeparator/>
      </w:r>
    </w:p>
  </w:footnote>
  <w:footnote w:id="1">
    <w:p w14:paraId="3213BC55" w14:textId="4A9F7A05" w:rsidR="002F6D4E" w:rsidRPr="004526A9" w:rsidRDefault="002F6D4E" w:rsidP="002F6D4E">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w:t>
      </w:r>
      <w:r w:rsidRPr="002F6D4E">
        <w:rPr>
          <w:rFonts w:ascii="Times New Roman" w:hAnsi="Times New Roman" w:cs="Times New Roman"/>
          <w:sz w:val="20"/>
          <w:szCs w:val="20"/>
          <w:lang w:val="en-US"/>
        </w:rPr>
        <w:t xml:space="preserve"> </w:t>
      </w:r>
      <w:r w:rsidRPr="004526A9">
        <w:rPr>
          <w:rFonts w:ascii="Times New Roman" w:hAnsi="Times New Roman" w:cs="Times New Roman"/>
          <w:sz w:val="20"/>
          <w:szCs w:val="20"/>
          <w:lang w:val="en-US"/>
        </w:rPr>
        <w:t>PhD Candidate in International and European Law at Utrecht University – Research Group RENFORCE (Regulation and Enforcement), Researcher on Access to Justice and EU Enforcement Agencies.</w:t>
      </w:r>
      <w:r>
        <w:rPr>
          <w:rFonts w:ascii="Times New Roman" w:hAnsi="Times New Roman" w:cs="Times New Roman"/>
          <w:sz w:val="20"/>
          <w:szCs w:val="20"/>
          <w:lang w:val="en-US"/>
        </w:rPr>
        <w:t xml:space="preserve"> Previously EUAA Caseworker and Assistant at the Territorial Commission for International Protection.</w:t>
      </w:r>
    </w:p>
    <w:p w14:paraId="23E31C32" w14:textId="64451E12" w:rsidR="002F6D4E" w:rsidRDefault="002F6D4E" w:rsidP="0031734F">
      <w:pPr>
        <w:spacing w:line="240" w:lineRule="auto"/>
        <w:jc w:val="both"/>
        <w:rPr>
          <w:rFonts w:ascii="Times New Roman" w:hAnsi="Times New Roman" w:cs="Times New Roman"/>
          <w:sz w:val="20"/>
          <w:szCs w:val="20"/>
          <w:lang w:val="en-US"/>
        </w:rPr>
      </w:pPr>
    </w:p>
    <w:p w14:paraId="00000023" w14:textId="69881038" w:rsidR="00E23BBA" w:rsidRPr="00D65067" w:rsidRDefault="006768B0" w:rsidP="0031734F">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vertAlign w:val="superscript"/>
        </w:rPr>
        <w:footnoteRef/>
      </w:r>
      <w:r w:rsidRPr="00D65067">
        <w:rPr>
          <w:rFonts w:ascii="Times New Roman" w:hAnsi="Times New Roman" w:cs="Times New Roman"/>
          <w:sz w:val="20"/>
          <w:szCs w:val="20"/>
          <w:lang w:val="en-US"/>
        </w:rPr>
        <w:t xml:space="preserve"> Case C-63/93 </w:t>
      </w:r>
      <w:r w:rsidRPr="00D65067">
        <w:rPr>
          <w:rFonts w:ascii="Times New Roman" w:hAnsi="Times New Roman" w:cs="Times New Roman"/>
          <w:i/>
          <w:sz w:val="20"/>
          <w:szCs w:val="20"/>
          <w:lang w:val="en-US"/>
        </w:rPr>
        <w:t>Duff and Others v Minister for Agriculture and Food</w:t>
      </w:r>
      <w:r w:rsidRPr="00D65067">
        <w:rPr>
          <w:rFonts w:ascii="Times New Roman" w:hAnsi="Times New Roman" w:cs="Times New Roman"/>
          <w:sz w:val="20"/>
          <w:szCs w:val="20"/>
          <w:lang w:val="en-US"/>
        </w:rPr>
        <w:t xml:space="preserve"> [1996] </w:t>
      </w:r>
      <w:r w:rsidR="002F6D4E" w:rsidRPr="00D65067">
        <w:rPr>
          <w:rFonts w:ascii="Times New Roman" w:hAnsi="Times New Roman" w:cs="Times New Roman"/>
          <w:sz w:val="20"/>
          <w:szCs w:val="20"/>
          <w:lang w:val="en-US"/>
        </w:rPr>
        <w:t>ECJ EU:C:1996:51</w:t>
      </w:r>
      <w:r w:rsidRPr="00D65067">
        <w:rPr>
          <w:rFonts w:ascii="Times New Roman" w:hAnsi="Times New Roman" w:cs="Times New Roman"/>
          <w:sz w:val="20"/>
          <w:szCs w:val="20"/>
          <w:lang w:val="en-US"/>
        </w:rPr>
        <w:t>, para 20.</w:t>
      </w:r>
    </w:p>
  </w:footnote>
  <w:footnote w:id="2">
    <w:p w14:paraId="00000024" w14:textId="01F68730" w:rsidR="00E23BBA" w:rsidRPr="00D65067" w:rsidRDefault="006768B0" w:rsidP="0031734F">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vertAlign w:val="superscript"/>
        </w:rPr>
        <w:footnoteRef/>
      </w:r>
      <w:r w:rsidRPr="00D65067">
        <w:rPr>
          <w:rFonts w:ascii="Times New Roman" w:hAnsi="Times New Roman" w:cs="Times New Roman"/>
          <w:sz w:val="20"/>
          <w:szCs w:val="20"/>
          <w:lang w:val="en-US"/>
        </w:rPr>
        <w:t xml:space="preserve"> On EU Agencies: E Chiti, ‘An Important Part of the EU’s Institutional Machinery: Features, Problems and Perspectives of European Agencies’ (2009) 46(5) Common Market Law Review,1395; M Everson and E Vos (eds), </w:t>
      </w:r>
      <w:r w:rsidRPr="00D65067">
        <w:rPr>
          <w:rFonts w:ascii="Times New Roman" w:hAnsi="Times New Roman" w:cs="Times New Roman"/>
          <w:i/>
          <w:sz w:val="20"/>
          <w:szCs w:val="20"/>
          <w:lang w:val="en-US"/>
        </w:rPr>
        <w:t>EU Agencies In Between Institutions and Member States</w:t>
      </w:r>
      <w:r w:rsidRPr="00D65067">
        <w:rPr>
          <w:rFonts w:ascii="Times New Roman" w:hAnsi="Times New Roman" w:cs="Times New Roman"/>
          <w:sz w:val="20"/>
          <w:szCs w:val="20"/>
          <w:lang w:val="en-US"/>
        </w:rPr>
        <w:t xml:space="preserve"> (Wolters Kluwer 2014);</w:t>
      </w:r>
      <w:r w:rsidR="008F5382" w:rsidRPr="00D65067">
        <w:rPr>
          <w:rFonts w:ascii="Times New Roman" w:hAnsi="Times New Roman" w:cs="Times New Roman"/>
          <w:sz w:val="20"/>
          <w:szCs w:val="20"/>
          <w:lang w:val="en-US"/>
        </w:rPr>
        <w:t xml:space="preserve"> </w:t>
      </w:r>
      <w:r w:rsidRPr="00D65067">
        <w:rPr>
          <w:rFonts w:ascii="Times New Roman" w:hAnsi="Times New Roman" w:cs="Times New Roman"/>
          <w:sz w:val="20"/>
          <w:szCs w:val="20"/>
          <w:lang w:val="en-US"/>
        </w:rPr>
        <w:t xml:space="preserve">M Scholten and A Brenninkmeijer (eds), </w:t>
      </w:r>
      <w:r w:rsidRPr="00D65067">
        <w:rPr>
          <w:rFonts w:ascii="Times New Roman" w:hAnsi="Times New Roman" w:cs="Times New Roman"/>
          <w:i/>
          <w:sz w:val="20"/>
          <w:szCs w:val="20"/>
          <w:lang w:val="en-US"/>
        </w:rPr>
        <w:t xml:space="preserve">Controlling EU Agencies: The Rule of Law in a Multi-Jurisdictional Legal Order </w:t>
      </w:r>
      <w:r w:rsidRPr="00D65067">
        <w:rPr>
          <w:rFonts w:ascii="Times New Roman" w:hAnsi="Times New Roman" w:cs="Times New Roman"/>
          <w:sz w:val="20"/>
          <w:szCs w:val="20"/>
          <w:lang w:val="en-US"/>
        </w:rPr>
        <w:t>(Elgar 2021)</w:t>
      </w:r>
      <w:r w:rsidR="002F6D4E" w:rsidRPr="00D65067">
        <w:rPr>
          <w:rFonts w:ascii="Times New Roman" w:hAnsi="Times New Roman" w:cs="Times New Roman"/>
          <w:sz w:val="20"/>
          <w:szCs w:val="20"/>
          <w:lang w:val="en-US"/>
        </w:rPr>
        <w:t xml:space="preserve">; </w:t>
      </w:r>
      <w:r w:rsidR="003F5099" w:rsidRPr="00D65067">
        <w:rPr>
          <w:rFonts w:ascii="Times New Roman" w:hAnsi="Times New Roman" w:cs="Times New Roman"/>
          <w:sz w:val="20"/>
          <w:szCs w:val="20"/>
          <w:lang w:val="en-US"/>
        </w:rPr>
        <w:fldChar w:fldCharType="begin"/>
      </w:r>
      <w:r w:rsidR="003F5099" w:rsidRPr="00D65067">
        <w:rPr>
          <w:rFonts w:ascii="Times New Roman" w:hAnsi="Times New Roman" w:cs="Times New Roman"/>
          <w:sz w:val="20"/>
          <w:szCs w:val="20"/>
          <w:lang w:val="en-US"/>
        </w:rPr>
        <w:instrText xml:space="preserve"> ADDIN ZOTERO_ITEM CSL_CITATION {"citationID":"yNTC07n4","properties":{"formattedCitation":"Jacopo Alberti, {\\i{}Le agenzie dell\\uc0\\u8217{}Unione europea} (Giuffr\\uc0\\u232{} 2018).","plainCitation":"Jacopo Alberti, Le agenzie dell’Unione europea (Giuffrè 2018).","noteIndex":2},"citationItems":[{"id":309,"uris":["http://zotero.org/users/10585610/items/3QYDUGEQ"],"itemData":{"id":309,"type":"book","abstract":"Benché numerose e attive nel panorama istituzionale dell'Unione europea, le agenzie sono ancora degli organismi ibridi, atipici e poco riconosciuti nel diritto pattizio. Esse, però, sono lo specchio (quando non il fattore) di profondi cambiamenti nel processo di integrazione europea, modificando gli equilibri nei rapporti di forza tra Commissione e Stati membri, innovando le forme di attuazione del diritto dell'Unione e le modalità di tutela giurisdizionale, modificando la sistematica delle fonti e ponendosi come nuovi attori nelle relazioni esterne dell'Unione. Il volume sviluppa dunque un'analisi omnicomprensiva di tutte le agenzie istituite sinora e del loro impatto sull'ordinamento dell'Unione europea; questi organismi sono quindi l'oggetto di indagine, ma al tempo stesso anche la lente attraverso la quale viene osservato il più ampio tema dell'evoluzione della governance dell'Unione e del suo sistema di tutela giurisdizionale","call-number":"351.4","collection-number":"20","collection-title":"Pubblicazioni del dipartimento di diritto publico italiano e sovranazionale","event-place":"Milano","ISBN":"978-88-14-22782-0","language":"ita","publisher":"Giuffrè","publisher-place":"Milano","source":"BnF ISBN","title":"Le agenzie dell'Unione europea","author":[{"family":"Alberti","given":"Jacopo"}],"issued":{"date-parts":[["2018"]]}}}],"schema":"https://github.com/citation-style-language/schema/raw/master/csl-citation.json"} </w:instrText>
      </w:r>
      <w:r w:rsidR="003F5099" w:rsidRPr="00D65067">
        <w:rPr>
          <w:rFonts w:ascii="Times New Roman" w:hAnsi="Times New Roman" w:cs="Times New Roman"/>
          <w:sz w:val="20"/>
          <w:szCs w:val="20"/>
          <w:lang w:val="en-US"/>
        </w:rPr>
        <w:fldChar w:fldCharType="separate"/>
      </w:r>
      <w:r w:rsidR="003F5099" w:rsidRPr="00D65067">
        <w:rPr>
          <w:rFonts w:ascii="Times New Roman" w:hAnsi="Times New Roman" w:cs="Times New Roman"/>
          <w:sz w:val="20"/>
          <w:szCs w:val="20"/>
          <w:lang w:val="en-US"/>
        </w:rPr>
        <w:t xml:space="preserve">J Alberti, </w:t>
      </w:r>
      <w:r w:rsidR="003F5099" w:rsidRPr="00D65067">
        <w:rPr>
          <w:rFonts w:ascii="Times New Roman" w:hAnsi="Times New Roman" w:cs="Times New Roman"/>
          <w:i/>
          <w:iCs/>
          <w:sz w:val="20"/>
          <w:szCs w:val="20"/>
          <w:lang w:val="en-US"/>
        </w:rPr>
        <w:t>Le agenzie dell’Unione europea</w:t>
      </w:r>
      <w:r w:rsidR="003F5099" w:rsidRPr="00D65067">
        <w:rPr>
          <w:rFonts w:ascii="Times New Roman" w:hAnsi="Times New Roman" w:cs="Times New Roman"/>
          <w:sz w:val="20"/>
          <w:szCs w:val="20"/>
          <w:lang w:val="en-US"/>
        </w:rPr>
        <w:t xml:space="preserve"> (Giuffrè 2018).</w:t>
      </w:r>
      <w:r w:rsidR="003F5099" w:rsidRPr="00D65067">
        <w:rPr>
          <w:rFonts w:ascii="Times New Roman" w:hAnsi="Times New Roman" w:cs="Times New Roman"/>
          <w:sz w:val="20"/>
          <w:szCs w:val="20"/>
          <w:lang w:val="en-US"/>
        </w:rPr>
        <w:fldChar w:fldCharType="end"/>
      </w:r>
    </w:p>
  </w:footnote>
  <w:footnote w:id="3">
    <w:p w14:paraId="00000025" w14:textId="1F1FE66D" w:rsidR="00E23BBA" w:rsidRPr="00D65067" w:rsidRDefault="006768B0" w:rsidP="0031734F">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vertAlign w:val="superscript"/>
        </w:rPr>
        <w:footnoteRef/>
      </w:r>
      <w:r w:rsidRPr="00D65067">
        <w:rPr>
          <w:rFonts w:ascii="Times New Roman" w:hAnsi="Times New Roman" w:cs="Times New Roman"/>
          <w:sz w:val="20"/>
          <w:szCs w:val="20"/>
          <w:lang w:val="en-US"/>
        </w:rPr>
        <w:t xml:space="preserve"> </w:t>
      </w:r>
      <w:r w:rsidR="003F5099" w:rsidRPr="00D65067">
        <w:rPr>
          <w:rFonts w:ascii="Times New Roman" w:hAnsi="Times New Roman" w:cs="Times New Roman"/>
          <w:sz w:val="20"/>
          <w:szCs w:val="20"/>
          <w:lang w:val="en-US"/>
        </w:rPr>
        <w:fldChar w:fldCharType="begin"/>
      </w:r>
      <w:r w:rsidR="003F5099" w:rsidRPr="00D65067">
        <w:rPr>
          <w:rFonts w:ascii="Times New Roman" w:hAnsi="Times New Roman" w:cs="Times New Roman"/>
          <w:sz w:val="20"/>
          <w:szCs w:val="20"/>
          <w:lang w:val="en-US"/>
        </w:rPr>
        <w:instrText xml:space="preserve"> ADDIN ZOTERO_TEMP </w:instrText>
      </w:r>
      <w:r w:rsidR="003F5099" w:rsidRPr="00D65067">
        <w:rPr>
          <w:rFonts w:ascii="Times New Roman" w:hAnsi="Times New Roman" w:cs="Times New Roman"/>
          <w:sz w:val="20"/>
          <w:szCs w:val="20"/>
          <w:lang w:val="en-US"/>
        </w:rPr>
        <w:fldChar w:fldCharType="end"/>
      </w:r>
      <w:r w:rsidRPr="00D65067">
        <w:rPr>
          <w:rFonts w:ascii="Times New Roman" w:hAnsi="Times New Roman" w:cs="Times New Roman"/>
          <w:sz w:val="20"/>
          <w:szCs w:val="20"/>
          <w:lang w:val="en-US"/>
        </w:rPr>
        <w:t xml:space="preserve">M Scipioni, ‘De Novo Bodies and EU Integration: What is the Story behind EU Agencies’ Expansion?’ 2018 </w:t>
      </w:r>
      <w:r w:rsidRPr="00D65067">
        <w:rPr>
          <w:rFonts w:ascii="Times New Roman" w:hAnsi="Times New Roman" w:cs="Times New Roman"/>
          <w:i/>
          <w:sz w:val="20"/>
          <w:szCs w:val="20"/>
          <w:lang w:val="en-US"/>
        </w:rPr>
        <w:t xml:space="preserve">Journal of Common Market Studies </w:t>
      </w:r>
      <w:r w:rsidRPr="00D65067">
        <w:rPr>
          <w:rFonts w:ascii="Times New Roman" w:hAnsi="Times New Roman" w:cs="Times New Roman"/>
          <w:sz w:val="20"/>
          <w:szCs w:val="20"/>
          <w:lang w:val="en-US"/>
        </w:rPr>
        <w:t>56</w:t>
      </w:r>
      <w:r w:rsidR="006208BD" w:rsidRPr="00D65067">
        <w:rPr>
          <w:rFonts w:ascii="Times New Roman" w:hAnsi="Times New Roman" w:cs="Times New Roman"/>
          <w:sz w:val="20"/>
          <w:szCs w:val="20"/>
          <w:lang w:val="en-US"/>
        </w:rPr>
        <w:t xml:space="preserve">; </w:t>
      </w:r>
      <w:r w:rsidR="006208BD" w:rsidRPr="00D65067">
        <w:rPr>
          <w:rFonts w:ascii="Times New Roman" w:hAnsi="Times New Roman" w:cs="Times New Roman"/>
          <w:sz w:val="20"/>
          <w:szCs w:val="20"/>
          <w:lang w:val="en-US"/>
        </w:rPr>
        <w:fldChar w:fldCharType="begin"/>
      </w:r>
      <w:r w:rsidR="006208BD" w:rsidRPr="00D65067">
        <w:rPr>
          <w:rFonts w:ascii="Times New Roman" w:hAnsi="Times New Roman" w:cs="Times New Roman"/>
          <w:sz w:val="20"/>
          <w:szCs w:val="20"/>
          <w:lang w:val="en-US"/>
        </w:rPr>
        <w:instrText xml:space="preserve"> ADDIN ZOTERO_ITEM CSL_CITATION {"citationID":"Zgpy9G99","properties":{"formattedCitation":"David Fern\\uc0\\u225{}ndez-Rojo, {\\i{}EU Migration Agencies: The Operation and Cooperation of Frontex, EASO and Europol} (Edward Elgar Publishing 2021).","plainCitation":"David Fernández-Rojo, EU Migration Agencies: The Operation and Cooperation of Frontex, EASO and Europol (Edward Elgar Publishing 2021).","noteIndex":4},"citationItems":[{"id":307,"uris":["http://zotero.org/users/10585610/items/7FFBLH8T"],"itemData":{"id":307,"type":"book","abstract":"The book identifies two key trends in the administration of the European Area of Freedom, Security and Justice. Fernández-Rojo discusses how on one hand the new legal frameworks of FRONTEX, EASO and EUROPOL stress that their operational roles are limited to providing national authorities with technical assistance, while on the other hand these agencies are increasingly involved in guaranteeing the enforcement of EU migration, asylum and border management measures. The book illustrates how FRONTEX, EASO and EUROPOL establish an effective and uniform national implementation of laws and policies, with a focus on their multilateral cooperation in the hotspots established in the aftermath of the refugee crisis.","call-number":"KJE6044 .F47 2021","collection-title":"European security and justice critiques series","event-place":"Cheltenham, UK","ISBN":"978-1-83910-933-1","number-of-pages":"254","publisher":"Edward Elgar Publishing","publisher-place":"Cheltenham, UK","source":"Library of Congress ISBN","title":"EU migration agencies: the operation and cooperation of Frontex, EASO and Europol","title-short":"EU migration agencies","author":[{"family":"Fernández-Rojo","given":"David"}],"issued":{"date-parts":[["2021"]]}}}],"schema":"https://github.com/citation-style-language/schema/raw/master/csl-citation.json"} </w:instrText>
      </w:r>
      <w:r w:rsidR="006208BD" w:rsidRPr="00D65067">
        <w:rPr>
          <w:rFonts w:ascii="Times New Roman" w:hAnsi="Times New Roman" w:cs="Times New Roman"/>
          <w:sz w:val="20"/>
          <w:szCs w:val="20"/>
          <w:lang w:val="en-US"/>
        </w:rPr>
        <w:fldChar w:fldCharType="separate"/>
      </w:r>
      <w:r w:rsidR="006208BD" w:rsidRPr="00D65067">
        <w:rPr>
          <w:rFonts w:ascii="Times New Roman" w:hAnsi="Times New Roman" w:cs="Times New Roman"/>
          <w:sz w:val="20"/>
          <w:szCs w:val="20"/>
          <w:lang w:val="en-US"/>
        </w:rPr>
        <w:t xml:space="preserve">D Fernández-Rojo, </w:t>
      </w:r>
      <w:r w:rsidR="006208BD" w:rsidRPr="00D65067">
        <w:rPr>
          <w:rFonts w:ascii="Times New Roman" w:hAnsi="Times New Roman" w:cs="Times New Roman"/>
          <w:i/>
          <w:iCs/>
          <w:sz w:val="20"/>
          <w:szCs w:val="20"/>
          <w:lang w:val="en-US"/>
        </w:rPr>
        <w:t>EU Migration Agencies: The Operation and Cooperation of Frontex, EASO and Europol</w:t>
      </w:r>
      <w:r w:rsidR="006208BD" w:rsidRPr="00D65067">
        <w:rPr>
          <w:rFonts w:ascii="Times New Roman" w:hAnsi="Times New Roman" w:cs="Times New Roman"/>
          <w:sz w:val="20"/>
          <w:szCs w:val="20"/>
          <w:lang w:val="en-US"/>
        </w:rPr>
        <w:t xml:space="preserve"> (Edward Elgar Publishing 2021).</w:t>
      </w:r>
      <w:r w:rsidR="006208BD" w:rsidRPr="00D65067">
        <w:rPr>
          <w:rFonts w:ascii="Times New Roman" w:hAnsi="Times New Roman" w:cs="Times New Roman"/>
          <w:sz w:val="20"/>
          <w:szCs w:val="20"/>
          <w:lang w:val="en-US"/>
        </w:rPr>
        <w:fldChar w:fldCharType="end"/>
      </w:r>
      <w:r w:rsidRPr="00D65067">
        <w:rPr>
          <w:rFonts w:ascii="Times New Roman" w:hAnsi="Times New Roman" w:cs="Times New Roman"/>
          <w:sz w:val="20"/>
          <w:szCs w:val="20"/>
          <w:lang w:val="en-US"/>
        </w:rPr>
        <w:tab/>
      </w:r>
      <w:r w:rsidRPr="00D65067">
        <w:rPr>
          <w:rFonts w:ascii="Times New Roman" w:hAnsi="Times New Roman" w:cs="Times New Roman"/>
          <w:sz w:val="20"/>
          <w:szCs w:val="20"/>
          <w:lang w:val="en-US"/>
        </w:rPr>
        <w:tab/>
      </w:r>
      <w:r w:rsidRPr="00D65067">
        <w:rPr>
          <w:rFonts w:ascii="Times New Roman" w:hAnsi="Times New Roman" w:cs="Times New Roman"/>
          <w:sz w:val="20"/>
          <w:szCs w:val="20"/>
          <w:lang w:val="en-US"/>
        </w:rPr>
        <w:tab/>
      </w:r>
    </w:p>
  </w:footnote>
  <w:footnote w:id="4">
    <w:p w14:paraId="00000026" w14:textId="77777777" w:rsidR="00E23BBA" w:rsidRPr="00D65067" w:rsidRDefault="006768B0" w:rsidP="0031734F">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vertAlign w:val="superscript"/>
        </w:rPr>
        <w:footnoteRef/>
      </w:r>
      <w:r w:rsidRPr="00D65067">
        <w:rPr>
          <w:rFonts w:ascii="Times New Roman" w:hAnsi="Times New Roman" w:cs="Times New Roman"/>
          <w:sz w:val="20"/>
          <w:szCs w:val="20"/>
          <w:lang w:val="en-US"/>
        </w:rPr>
        <w:t xml:space="preserve"> </w:t>
      </w:r>
      <w:r w:rsidRPr="00D65067">
        <w:rPr>
          <w:rFonts w:ascii="Times New Roman" w:hAnsi="Times New Roman" w:cs="Times New Roman"/>
          <w:sz w:val="20"/>
          <w:szCs w:val="20"/>
          <w:highlight w:val="white"/>
          <w:lang w:val="en-US"/>
        </w:rPr>
        <w:t>Regulation (EU) 2021/2303 of the European Parliament and of the Council of 15 December 2021 on the European Union Agency for Asylum and repealing Regulation (EU) No 439/2010</w:t>
      </w:r>
      <w:r w:rsidRPr="00D65067">
        <w:rPr>
          <w:rFonts w:ascii="Times New Roman" w:hAnsi="Times New Roman" w:cs="Times New Roman"/>
          <w:sz w:val="20"/>
          <w:szCs w:val="20"/>
          <w:lang w:val="en-US"/>
        </w:rPr>
        <w:t xml:space="preserve"> [2021] OJ L468/1.</w:t>
      </w:r>
    </w:p>
  </w:footnote>
  <w:footnote w:id="5">
    <w:p w14:paraId="00000027" w14:textId="77777777" w:rsidR="00E23BBA" w:rsidRPr="00D65067" w:rsidRDefault="006768B0" w:rsidP="0031734F">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vertAlign w:val="superscript"/>
        </w:rPr>
        <w:footnoteRef/>
      </w:r>
      <w:r w:rsidRPr="00D65067">
        <w:rPr>
          <w:rFonts w:ascii="Times New Roman" w:hAnsi="Times New Roman" w:cs="Times New Roman"/>
          <w:sz w:val="20"/>
          <w:szCs w:val="20"/>
          <w:lang w:val="en-US"/>
        </w:rPr>
        <w:t xml:space="preserve"> Latvia, Lithuania, Greece, Cyprus, Italy, Malta, Spain, Belgium, Romania.</w:t>
      </w:r>
    </w:p>
  </w:footnote>
  <w:footnote w:id="6">
    <w:p w14:paraId="00000028" w14:textId="77777777" w:rsidR="00E23BBA" w:rsidRPr="00D65067" w:rsidRDefault="006768B0" w:rsidP="0031734F">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vertAlign w:val="superscript"/>
        </w:rPr>
        <w:footnoteRef/>
      </w:r>
      <w:r w:rsidRPr="00D65067">
        <w:rPr>
          <w:rFonts w:ascii="Times New Roman" w:hAnsi="Times New Roman" w:cs="Times New Roman"/>
          <w:sz w:val="20"/>
          <w:szCs w:val="20"/>
          <w:lang w:val="en-US"/>
        </w:rPr>
        <w:t xml:space="preserve"> Article 18 EUAA Regulation.</w:t>
      </w:r>
    </w:p>
  </w:footnote>
  <w:footnote w:id="7">
    <w:p w14:paraId="00000029" w14:textId="77777777" w:rsidR="00E23BBA" w:rsidRPr="00D65067" w:rsidRDefault="006768B0" w:rsidP="0031734F">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vertAlign w:val="superscript"/>
        </w:rPr>
        <w:footnoteRef/>
      </w:r>
      <w:r w:rsidRPr="00D65067">
        <w:rPr>
          <w:rFonts w:ascii="Times New Roman" w:hAnsi="Times New Roman" w:cs="Times New Roman"/>
          <w:sz w:val="20"/>
          <w:szCs w:val="20"/>
          <w:lang w:val="en-US"/>
        </w:rPr>
        <w:t xml:space="preserve"> Recital 14 EASO Regulation; Art 2(6) EASO Regulation.</w:t>
      </w:r>
    </w:p>
  </w:footnote>
  <w:footnote w:id="8">
    <w:p w14:paraId="0000002A" w14:textId="1DA6DC1C" w:rsidR="00E23BBA" w:rsidRPr="00D65067" w:rsidRDefault="006768B0" w:rsidP="0031734F">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vertAlign w:val="superscript"/>
        </w:rPr>
        <w:footnoteRef/>
      </w:r>
      <w:r w:rsidRPr="00D65067">
        <w:rPr>
          <w:rFonts w:ascii="Times New Roman" w:hAnsi="Times New Roman" w:cs="Times New Roman"/>
          <w:sz w:val="20"/>
          <w:szCs w:val="20"/>
          <w:lang w:val="en-US"/>
        </w:rPr>
        <w:t xml:space="preserve"> </w:t>
      </w:r>
      <w:r w:rsidR="003F5099" w:rsidRPr="00D65067">
        <w:rPr>
          <w:rFonts w:ascii="Times New Roman" w:hAnsi="Times New Roman" w:cs="Times New Roman"/>
          <w:sz w:val="20"/>
          <w:szCs w:val="20"/>
          <w:lang w:val="en-US"/>
        </w:rPr>
        <w:t>The topic has been explored especially with regards to Greece,</w:t>
      </w:r>
      <w:r w:rsidR="009C3ACD" w:rsidRPr="00D65067">
        <w:rPr>
          <w:rFonts w:ascii="Times New Roman" w:hAnsi="Times New Roman" w:cs="Times New Roman"/>
          <w:sz w:val="20"/>
          <w:szCs w:val="20"/>
          <w:lang w:val="en-US"/>
        </w:rPr>
        <w:t xml:space="preserve"> see</w:t>
      </w:r>
      <w:r w:rsidR="003F5099" w:rsidRPr="00D65067">
        <w:rPr>
          <w:rFonts w:ascii="Times New Roman" w:hAnsi="Times New Roman" w:cs="Times New Roman"/>
          <w:sz w:val="20"/>
          <w:szCs w:val="20"/>
          <w:lang w:val="en-US"/>
        </w:rPr>
        <w:t xml:space="preserve"> </w:t>
      </w:r>
      <w:r w:rsidRPr="00D65067">
        <w:rPr>
          <w:rFonts w:ascii="Times New Roman" w:hAnsi="Times New Roman" w:cs="Times New Roman"/>
          <w:sz w:val="20"/>
          <w:szCs w:val="20"/>
          <w:lang w:val="en-US"/>
        </w:rPr>
        <w:t xml:space="preserve">E Tsourdi, </w:t>
      </w:r>
      <w:r w:rsidRPr="00D65067">
        <w:rPr>
          <w:rFonts w:ascii="Times New Roman" w:hAnsi="Times New Roman" w:cs="Times New Roman"/>
          <w:i/>
          <w:sz w:val="20"/>
          <w:szCs w:val="20"/>
          <w:lang w:val="en-US"/>
        </w:rPr>
        <w:t xml:space="preserve">Holding the European Asylum Support Office Accountable for its role in Asylum Decision-Making: Mission Impossible? </w:t>
      </w:r>
      <w:r w:rsidRPr="00D65067">
        <w:rPr>
          <w:rFonts w:ascii="Times New Roman" w:hAnsi="Times New Roman" w:cs="Times New Roman"/>
          <w:sz w:val="20"/>
          <w:szCs w:val="20"/>
          <w:lang w:val="en-US"/>
        </w:rPr>
        <w:t xml:space="preserve">German Law Journal (2020), 21, pp. 506–531; G Lisi and M Eliantonio, </w:t>
      </w:r>
      <w:r w:rsidRPr="00D65067">
        <w:rPr>
          <w:rFonts w:ascii="Times New Roman" w:hAnsi="Times New Roman" w:cs="Times New Roman"/>
          <w:i/>
          <w:sz w:val="20"/>
          <w:szCs w:val="20"/>
          <w:lang w:val="en-US"/>
        </w:rPr>
        <w:t>The Gaps in Judicial Accountability of EASO in the processing of asylum requests in Hotspots</w:t>
      </w:r>
      <w:r w:rsidRPr="00D65067">
        <w:rPr>
          <w:rFonts w:ascii="Times New Roman" w:hAnsi="Times New Roman" w:cs="Times New Roman"/>
          <w:sz w:val="20"/>
          <w:szCs w:val="20"/>
          <w:lang w:val="en-US"/>
        </w:rPr>
        <w:t>,</w:t>
      </w:r>
      <w:r w:rsidRPr="00D65067">
        <w:rPr>
          <w:rFonts w:ascii="Times New Roman" w:hAnsi="Times New Roman" w:cs="Times New Roman"/>
          <w:i/>
          <w:sz w:val="20"/>
          <w:szCs w:val="20"/>
          <w:lang w:val="en-US"/>
        </w:rPr>
        <w:t xml:space="preserve"> </w:t>
      </w:r>
      <w:r w:rsidRPr="00D65067">
        <w:rPr>
          <w:rFonts w:ascii="Times New Roman" w:hAnsi="Times New Roman" w:cs="Times New Roman"/>
          <w:sz w:val="20"/>
          <w:szCs w:val="20"/>
          <w:lang w:val="en-US"/>
        </w:rPr>
        <w:t xml:space="preserve">European Papers (2019) vol 4, no 2, pp. 589-601; S Horii, </w:t>
      </w:r>
      <w:r w:rsidRPr="00D65067">
        <w:rPr>
          <w:rFonts w:ascii="Times New Roman" w:hAnsi="Times New Roman" w:cs="Times New Roman"/>
          <w:i/>
          <w:sz w:val="20"/>
          <w:szCs w:val="20"/>
          <w:lang w:val="en-US"/>
        </w:rPr>
        <w:t>Accountability, Dependency, and EU Agencies: The Hotspot Approach in the Refugee Crisis,</w:t>
      </w:r>
      <w:r w:rsidRPr="00D65067">
        <w:rPr>
          <w:rFonts w:ascii="Times New Roman" w:hAnsi="Times New Roman" w:cs="Times New Roman"/>
          <w:sz w:val="20"/>
          <w:szCs w:val="20"/>
          <w:lang w:val="en-US"/>
        </w:rPr>
        <w:t xml:space="preserve"> Refugee Survey Quarterly, volume 37, Issue 2, (2018),209, pp. 204–230.</w:t>
      </w:r>
    </w:p>
  </w:footnote>
  <w:footnote w:id="9">
    <w:p w14:paraId="0000002B" w14:textId="687ED83A" w:rsidR="00E23BBA" w:rsidRPr="00D65067" w:rsidRDefault="006768B0" w:rsidP="0031734F">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vertAlign w:val="superscript"/>
        </w:rPr>
        <w:footnoteRef/>
      </w:r>
      <w:r w:rsidRPr="00D65067">
        <w:rPr>
          <w:rFonts w:ascii="Times New Roman" w:hAnsi="Times New Roman" w:cs="Times New Roman"/>
          <w:sz w:val="20"/>
          <w:szCs w:val="20"/>
          <w:lang w:val="en-US"/>
        </w:rPr>
        <w:t xml:space="preserve"> UNHCR Asylum Trends, available at: </w:t>
      </w:r>
      <w:r w:rsidR="00DE5383" w:rsidRPr="00D65067">
        <w:rPr>
          <w:rFonts w:ascii="Times New Roman" w:hAnsi="Times New Roman" w:cs="Times New Roman"/>
          <w:sz w:val="20"/>
          <w:szCs w:val="20"/>
          <w:lang w:val="en-US"/>
        </w:rPr>
        <w:t>https://www.unhcr.org/mt/figures-at-a-glance#:~:text=2022%20Arrivals%20and%20Asylum%20Trends,is%205%25%20of%20total%20decisions.</w:t>
      </w:r>
      <w:r w:rsidR="00712A31" w:rsidRPr="00D65067">
        <w:rPr>
          <w:rFonts w:ascii="Times New Roman" w:hAnsi="Times New Roman" w:cs="Times New Roman"/>
          <w:sz w:val="20"/>
          <w:szCs w:val="20"/>
        </w:rPr>
        <w:fldChar w:fldCharType="begin"/>
      </w:r>
      <w:r w:rsidR="00712A31" w:rsidRPr="00D65067">
        <w:rPr>
          <w:rFonts w:ascii="Times New Roman" w:hAnsi="Times New Roman" w:cs="Times New Roman"/>
          <w:sz w:val="20"/>
          <w:szCs w:val="20"/>
          <w:lang w:val="en-US"/>
        </w:rPr>
        <w:instrText xml:space="preserve">https://www.unhcr.org/mt/figures-at-a-glance" \h </w:instrText>
      </w:r>
      <w:r w:rsidR="00712A31" w:rsidRPr="00D65067">
        <w:rPr>
          <w:rFonts w:ascii="Times New Roman" w:hAnsi="Times New Roman" w:cs="Times New Roman"/>
          <w:sz w:val="20"/>
          <w:szCs w:val="20"/>
        </w:rPr>
        <w:fldChar w:fldCharType="separate"/>
      </w:r>
      <w:r w:rsidRPr="00D65067">
        <w:rPr>
          <w:rFonts w:ascii="Times New Roman" w:hAnsi="Times New Roman" w:cs="Times New Roman"/>
          <w:color w:val="1155CC"/>
          <w:sz w:val="20"/>
          <w:szCs w:val="20"/>
          <w:u w:val="single"/>
          <w:lang w:val="en-US"/>
        </w:rPr>
        <w:t>https://www.unhcr.org/mt/figures-at-a-glance</w:t>
      </w:r>
      <w:r w:rsidR="00712A31" w:rsidRPr="00D65067">
        <w:rPr>
          <w:rFonts w:ascii="Times New Roman" w:hAnsi="Times New Roman" w:cs="Times New Roman"/>
          <w:color w:val="1155CC"/>
          <w:sz w:val="20"/>
          <w:szCs w:val="20"/>
          <w:u w:val="single"/>
          <w:lang w:val="en-US"/>
        </w:rPr>
        <w:fldChar w:fldCharType="end"/>
      </w:r>
      <w:r w:rsidRPr="00D65067">
        <w:rPr>
          <w:rFonts w:ascii="Times New Roman" w:hAnsi="Times New Roman" w:cs="Times New Roman"/>
          <w:sz w:val="20"/>
          <w:szCs w:val="20"/>
          <w:lang w:val="en-US"/>
        </w:rPr>
        <w:t xml:space="preserve">, last access </w:t>
      </w:r>
      <w:r w:rsidR="00DE5383" w:rsidRPr="00D65067">
        <w:rPr>
          <w:rFonts w:ascii="Times New Roman" w:hAnsi="Times New Roman" w:cs="Times New Roman"/>
          <w:sz w:val="20"/>
          <w:szCs w:val="20"/>
          <w:lang w:val="en-US"/>
        </w:rPr>
        <w:t>02</w:t>
      </w:r>
      <w:r w:rsidRPr="00D65067">
        <w:rPr>
          <w:rFonts w:ascii="Times New Roman" w:hAnsi="Times New Roman" w:cs="Times New Roman"/>
          <w:sz w:val="20"/>
          <w:szCs w:val="20"/>
          <w:lang w:val="en-US"/>
        </w:rPr>
        <w:t>/</w:t>
      </w:r>
      <w:r w:rsidR="00DE5383" w:rsidRPr="00D65067">
        <w:rPr>
          <w:rFonts w:ascii="Times New Roman" w:hAnsi="Times New Roman" w:cs="Times New Roman"/>
          <w:sz w:val="20"/>
          <w:szCs w:val="20"/>
          <w:lang w:val="en-US"/>
        </w:rPr>
        <w:t>12</w:t>
      </w:r>
      <w:r w:rsidRPr="00D65067">
        <w:rPr>
          <w:rFonts w:ascii="Times New Roman" w:hAnsi="Times New Roman" w:cs="Times New Roman"/>
          <w:sz w:val="20"/>
          <w:szCs w:val="20"/>
          <w:lang w:val="en-US"/>
        </w:rPr>
        <w:t>/2022.</w:t>
      </w:r>
    </w:p>
  </w:footnote>
  <w:footnote w:id="10">
    <w:p w14:paraId="0000002C" w14:textId="3F5C77B4" w:rsidR="00E23BBA" w:rsidRPr="00D65067" w:rsidRDefault="006768B0" w:rsidP="00DE5383">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The European Commission advanced in 2002 with regards to Agencies that: “The independence of their technical and/or scientific assessments is, in fact, their real raison d’être. The main advantage of using the agencies is that their decisions are based on purely technical evaluations of very high quality and are not influenced by political or contingent considerations”, The Operating Framework for the European Regulatory Agencies, at 5, COM (2002) 718 final (Dec. 12, 2002). Hofmann claims that ‘this model has always been a simplification of reality’. H C.H. Hofmann, ‘Composite decision</w:t>
      </w:r>
      <w:r w:rsidR="00DE5383" w:rsidRPr="00D65067">
        <w:rPr>
          <w:rFonts w:ascii="Times New Roman" w:hAnsi="Times New Roman" w:cs="Times New Roman"/>
          <w:sz w:val="20"/>
          <w:szCs w:val="20"/>
          <w:lang w:val="en-US"/>
        </w:rPr>
        <w:t>-</w:t>
      </w:r>
      <w:r w:rsidRPr="00D65067">
        <w:rPr>
          <w:rFonts w:ascii="Times New Roman" w:hAnsi="Times New Roman" w:cs="Times New Roman"/>
          <w:sz w:val="20"/>
          <w:szCs w:val="20"/>
          <w:lang w:val="en-US"/>
        </w:rPr>
        <w:t xml:space="preserve">making procedures in EU administrative law’, in: </w:t>
      </w:r>
      <w:r w:rsidR="00DE5383" w:rsidRPr="00D65067">
        <w:rPr>
          <w:rFonts w:ascii="Times New Roman" w:hAnsi="Times New Roman" w:cs="Times New Roman"/>
          <w:sz w:val="20"/>
          <w:szCs w:val="20"/>
          <w:lang w:val="en-US"/>
        </w:rPr>
        <w:t>H.</w:t>
      </w:r>
      <w:r w:rsidRPr="00D65067">
        <w:rPr>
          <w:rFonts w:ascii="Times New Roman" w:hAnsi="Times New Roman" w:cs="Times New Roman"/>
          <w:sz w:val="20"/>
          <w:szCs w:val="20"/>
          <w:lang w:val="en-US"/>
        </w:rPr>
        <w:t xml:space="preserve"> Hofmann &amp; A</w:t>
      </w:r>
      <w:r w:rsidR="00DE5383" w:rsidRPr="00D65067">
        <w:rPr>
          <w:rFonts w:ascii="Times New Roman" w:hAnsi="Times New Roman" w:cs="Times New Roman"/>
          <w:sz w:val="20"/>
          <w:szCs w:val="20"/>
          <w:lang w:val="en-US"/>
        </w:rPr>
        <w:t xml:space="preserve"> </w:t>
      </w:r>
      <w:r w:rsidRPr="00D65067">
        <w:rPr>
          <w:rFonts w:ascii="Times New Roman" w:hAnsi="Times New Roman" w:cs="Times New Roman"/>
          <w:sz w:val="20"/>
          <w:szCs w:val="20"/>
          <w:lang w:val="en-US"/>
        </w:rPr>
        <w:t>H. Türk (Eds), Legal Challenges in EU Administrative Law, Elgar 2009, 137.</w:t>
      </w:r>
    </w:p>
  </w:footnote>
  <w:footnote w:id="11">
    <w:p w14:paraId="0000002D" w14:textId="430D9361" w:rsidR="00E23BBA" w:rsidRPr="00D65067" w:rsidRDefault="006768B0" w:rsidP="00DE5383">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006A0446" w:rsidRPr="00D65067">
        <w:rPr>
          <w:rFonts w:ascii="Times New Roman" w:hAnsi="Times New Roman" w:cs="Times New Roman"/>
          <w:sz w:val="20"/>
          <w:szCs w:val="20"/>
          <w:lang w:val="en-US"/>
        </w:rPr>
        <w:t xml:space="preserve"> </w:t>
      </w:r>
      <w:r w:rsidRPr="00D65067">
        <w:rPr>
          <w:rFonts w:ascii="Times New Roman" w:hAnsi="Times New Roman" w:cs="Times New Roman"/>
          <w:sz w:val="20"/>
          <w:szCs w:val="20"/>
          <w:lang w:val="en-US"/>
        </w:rPr>
        <w:t>C Boswell, ’The political functions of expert knowledge: knowledge and legitimation in</w:t>
      </w:r>
    </w:p>
    <w:p w14:paraId="0000002E" w14:textId="3296FF17" w:rsidR="00E23BBA" w:rsidRPr="00D65067" w:rsidRDefault="006768B0" w:rsidP="00DE5383">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t xml:space="preserve">European Union immigration policy’ (2008) 15(4) Journal of European Public Policy 471; J. Parkin, ‘EU home affairs agencies and the construction of EU internal security’ (2012) CEPS Paper in Liberty and Security in Europe, 53. The idea of an Agency assisting national authorities in the effective implementation of the common asylum policy was first introduced in the Hague Programme of 2004. The programme, entitled “Strengthening freedom, security and justice in the European Union”, aimed to improve the capability of the Member States to cooperate in this policy area. European Council, The Hague Programme: strengthening freedom, security and justice in the European Union, 30 March 2005: </w:t>
      </w:r>
      <w:hyperlink r:id="rId1" w:history="1">
        <w:r w:rsidR="0031734F" w:rsidRPr="00D65067">
          <w:rPr>
            <w:rFonts w:ascii="Times New Roman" w:hAnsi="Times New Roman" w:cs="Times New Roman"/>
            <w:sz w:val="20"/>
            <w:szCs w:val="20"/>
            <w:lang w:val="en-US"/>
          </w:rPr>
          <w:t>https://eur-lex.europa.eu/legal-content/EN/TXT/?uri=CELEX:52005XG0303(01)</w:t>
        </w:r>
      </w:hyperlink>
      <w:r w:rsidRPr="00D65067">
        <w:rPr>
          <w:rFonts w:ascii="Times New Roman" w:hAnsi="Times New Roman" w:cs="Times New Roman"/>
          <w:sz w:val="20"/>
          <w:szCs w:val="20"/>
          <w:lang w:val="en-US"/>
        </w:rPr>
        <w:t>)</w:t>
      </w:r>
      <w:r w:rsidR="0031734F" w:rsidRPr="00D65067">
        <w:rPr>
          <w:rFonts w:ascii="Times New Roman" w:hAnsi="Times New Roman" w:cs="Times New Roman"/>
          <w:sz w:val="20"/>
          <w:szCs w:val="20"/>
          <w:lang w:val="en-US"/>
        </w:rPr>
        <w:t xml:space="preserve">, last access </w:t>
      </w:r>
      <w:r w:rsidR="00DE5383" w:rsidRPr="00D65067">
        <w:rPr>
          <w:rFonts w:ascii="Times New Roman" w:hAnsi="Times New Roman" w:cs="Times New Roman"/>
          <w:sz w:val="20"/>
          <w:szCs w:val="20"/>
          <w:lang w:val="en-US"/>
        </w:rPr>
        <w:t>02</w:t>
      </w:r>
      <w:r w:rsidR="0031734F" w:rsidRPr="00D65067">
        <w:rPr>
          <w:rFonts w:ascii="Times New Roman" w:hAnsi="Times New Roman" w:cs="Times New Roman"/>
          <w:sz w:val="20"/>
          <w:szCs w:val="20"/>
          <w:lang w:val="en-US"/>
        </w:rPr>
        <w:t>/</w:t>
      </w:r>
      <w:r w:rsidR="00DE5383" w:rsidRPr="00D65067">
        <w:rPr>
          <w:rFonts w:ascii="Times New Roman" w:hAnsi="Times New Roman" w:cs="Times New Roman"/>
          <w:sz w:val="20"/>
          <w:szCs w:val="20"/>
          <w:lang w:val="en-US"/>
        </w:rPr>
        <w:t>12</w:t>
      </w:r>
      <w:r w:rsidR="0031734F" w:rsidRPr="00D65067">
        <w:rPr>
          <w:rFonts w:ascii="Times New Roman" w:hAnsi="Times New Roman" w:cs="Times New Roman"/>
          <w:sz w:val="20"/>
          <w:szCs w:val="20"/>
          <w:lang w:val="en-US"/>
        </w:rPr>
        <w:t>/2022.</w:t>
      </w:r>
    </w:p>
  </w:footnote>
  <w:footnote w:id="12">
    <w:p w14:paraId="0000002F" w14:textId="0E6BBC56" w:rsidR="00E23BBA" w:rsidRPr="00D65067" w:rsidRDefault="006768B0" w:rsidP="00DE5383">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Recital 13 EASO Regulation</w:t>
      </w:r>
      <w:r w:rsidR="0031734F" w:rsidRPr="00D65067">
        <w:rPr>
          <w:rFonts w:ascii="Times New Roman" w:hAnsi="Times New Roman" w:cs="Times New Roman"/>
          <w:sz w:val="20"/>
          <w:szCs w:val="20"/>
          <w:lang w:val="en-US"/>
        </w:rPr>
        <w:t>.</w:t>
      </w:r>
    </w:p>
  </w:footnote>
  <w:footnote w:id="13">
    <w:p w14:paraId="00000030" w14:textId="77777777" w:rsidR="00E23BBA" w:rsidRPr="00D65067" w:rsidRDefault="006768B0" w:rsidP="00DE5383">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Communication COM(2015) 240 final of 13 May 2015 from the Commission on a European Agenda on Migration.</w:t>
      </w:r>
    </w:p>
  </w:footnote>
  <w:footnote w:id="14">
    <w:p w14:paraId="00000031" w14:textId="0E2E75CF" w:rsidR="00E23BBA" w:rsidRPr="00D65067" w:rsidRDefault="006768B0" w:rsidP="00DE5383">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On the lack of a systematic framework to this approach and an analysis through the lenses of international law, F Casolari: ‘The EU’s hotspot approach to managing the migration crisis: a blind spot for international responsibility?’ The Italian Yearbook of International Law Online (2016)</w:t>
      </w:r>
      <w:r w:rsidR="0031734F" w:rsidRPr="00D65067">
        <w:rPr>
          <w:rFonts w:ascii="Times New Roman" w:hAnsi="Times New Roman" w:cs="Times New Roman"/>
          <w:sz w:val="20"/>
          <w:szCs w:val="20"/>
          <w:lang w:val="en-US"/>
        </w:rPr>
        <w:t>.</w:t>
      </w:r>
    </w:p>
  </w:footnote>
  <w:footnote w:id="15">
    <w:p w14:paraId="00000032" w14:textId="77777777" w:rsidR="00E23BBA" w:rsidRPr="00D65067" w:rsidRDefault="006768B0" w:rsidP="00DE5383">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E Tsourdi, ‘Bottom-up Salvation? From Practical Cooperation Towards Joint Implementation Through the European Asylum Support Office’ (2016) 3(1)European Papers, pp. 997-1031.</w:t>
      </w:r>
    </w:p>
  </w:footnote>
  <w:footnote w:id="16">
    <w:p w14:paraId="00000033" w14:textId="27E161DE" w:rsidR="00E23BBA" w:rsidRPr="00D65067" w:rsidRDefault="006768B0" w:rsidP="00DE5383">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C Ziebritzki “Chaos in Chios: Legal questions regarding the administrative procedure in the Greek Hotspots”, available at: </w:t>
      </w:r>
      <w:hyperlink r:id="rId2">
        <w:r w:rsidRPr="00D65067">
          <w:rPr>
            <w:rFonts w:ascii="Times New Roman" w:hAnsi="Times New Roman" w:cs="Times New Roman"/>
            <w:sz w:val="20"/>
            <w:szCs w:val="20"/>
            <w:lang w:val="en-US"/>
          </w:rPr>
          <w:t>https://eumigrationlawblog.eu/chaos-in-chios-legal-questions-regarding-the-administrative-procedure-in-the-greek-hotspots/</w:t>
        </w:r>
      </w:hyperlink>
      <w:r w:rsidRPr="00D65067">
        <w:rPr>
          <w:rFonts w:ascii="Times New Roman" w:hAnsi="Times New Roman" w:cs="Times New Roman"/>
          <w:sz w:val="20"/>
          <w:szCs w:val="20"/>
          <w:lang w:val="en-US"/>
        </w:rPr>
        <w:t xml:space="preserve">, last access </w:t>
      </w:r>
      <w:r w:rsidR="009C3ACD" w:rsidRPr="00D65067">
        <w:rPr>
          <w:rFonts w:ascii="Times New Roman" w:hAnsi="Times New Roman" w:cs="Times New Roman"/>
          <w:sz w:val="20"/>
          <w:szCs w:val="20"/>
          <w:lang w:val="en-US"/>
        </w:rPr>
        <w:t>02/12/2022</w:t>
      </w:r>
      <w:r w:rsidRPr="00D65067">
        <w:rPr>
          <w:rFonts w:ascii="Times New Roman" w:hAnsi="Times New Roman" w:cs="Times New Roman"/>
          <w:sz w:val="20"/>
          <w:szCs w:val="20"/>
          <w:lang w:val="en-US"/>
        </w:rPr>
        <w:t>.</w:t>
      </w:r>
    </w:p>
  </w:footnote>
  <w:footnote w:id="17">
    <w:p w14:paraId="00000034" w14:textId="4564DF5B" w:rsidR="00E23BBA" w:rsidRPr="00D65067" w:rsidRDefault="006768B0" w:rsidP="00DE5383">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E Tsourdi, supra note 1</w:t>
      </w:r>
      <w:r w:rsidR="00DE5383" w:rsidRPr="00D65067">
        <w:rPr>
          <w:rFonts w:ascii="Times New Roman" w:hAnsi="Times New Roman" w:cs="Times New Roman"/>
          <w:sz w:val="20"/>
          <w:szCs w:val="20"/>
          <w:lang w:val="en-US"/>
        </w:rPr>
        <w:t>5</w:t>
      </w:r>
      <w:r w:rsidRPr="00D65067">
        <w:rPr>
          <w:rFonts w:ascii="Times New Roman" w:hAnsi="Times New Roman" w:cs="Times New Roman"/>
          <w:sz w:val="20"/>
          <w:szCs w:val="20"/>
          <w:lang w:val="en-US"/>
        </w:rPr>
        <w:t>.</w:t>
      </w:r>
    </w:p>
  </w:footnote>
  <w:footnote w:id="18">
    <w:p w14:paraId="00000035" w14:textId="77777777" w:rsidR="00E23BBA" w:rsidRPr="00D65067" w:rsidRDefault="006768B0" w:rsidP="00DE5383">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On composite procedures in general, H C.H. Hofmann, ‘Decisionmaking in EU Administrative Law – The Problem of Composite Procedures’ (2009) Administrative Law Review, 221.</w:t>
      </w:r>
    </w:p>
  </w:footnote>
  <w:footnote w:id="19">
    <w:p w14:paraId="00000036" w14:textId="4F8EFD88" w:rsidR="00E23BBA" w:rsidRPr="00D65067" w:rsidRDefault="006768B0" w:rsidP="00DE5383">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S Horii, supra note </w:t>
      </w:r>
      <w:r w:rsidR="00DE5383" w:rsidRPr="00D65067">
        <w:rPr>
          <w:rFonts w:ascii="Times New Roman" w:hAnsi="Times New Roman" w:cs="Times New Roman"/>
          <w:sz w:val="20"/>
          <w:szCs w:val="20"/>
          <w:lang w:val="en-US"/>
        </w:rPr>
        <w:t>8</w:t>
      </w:r>
      <w:r w:rsidRPr="00D65067">
        <w:rPr>
          <w:rFonts w:ascii="Times New Roman" w:hAnsi="Times New Roman" w:cs="Times New Roman"/>
          <w:sz w:val="20"/>
          <w:szCs w:val="20"/>
          <w:lang w:val="en-US"/>
        </w:rPr>
        <w:t>, p 224.</w:t>
      </w:r>
    </w:p>
  </w:footnote>
  <w:footnote w:id="20">
    <w:p w14:paraId="0604A8B5" w14:textId="3353CFE4" w:rsidR="0031734F" w:rsidRPr="00D65067" w:rsidRDefault="006768B0" w:rsidP="0031734F">
      <w:pPr>
        <w:spacing w:line="240" w:lineRule="auto"/>
        <w:jc w:val="both"/>
        <w:rPr>
          <w:rFonts w:ascii="Times New Roman" w:hAnsi="Times New Roman" w:cs="Times New Roman"/>
          <w:sz w:val="20"/>
          <w:szCs w:val="20"/>
          <w:lang w:val="it-IT"/>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it-IT"/>
        </w:rPr>
        <w:t xml:space="preserve"> E Tsourdi, supra note 1</w:t>
      </w:r>
      <w:r w:rsidR="00DE5383" w:rsidRPr="00D65067">
        <w:rPr>
          <w:rFonts w:ascii="Times New Roman" w:hAnsi="Times New Roman" w:cs="Times New Roman"/>
          <w:sz w:val="20"/>
          <w:szCs w:val="20"/>
          <w:lang w:val="it-IT"/>
        </w:rPr>
        <w:t>5</w:t>
      </w:r>
      <w:r w:rsidRPr="00D65067">
        <w:rPr>
          <w:rFonts w:ascii="Times New Roman" w:hAnsi="Times New Roman" w:cs="Times New Roman"/>
          <w:sz w:val="20"/>
          <w:szCs w:val="20"/>
          <w:lang w:val="it-IT"/>
        </w:rPr>
        <w:t xml:space="preserve">, p 1028. </w:t>
      </w:r>
    </w:p>
    <w:p w14:paraId="00000037" w14:textId="3986454D" w:rsidR="00E23BBA" w:rsidRPr="00D65067" w:rsidRDefault="006768B0" w:rsidP="0031734F">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t xml:space="preserve">All the Operational Plans agreed between EUAA and </w:t>
      </w:r>
      <w:r w:rsidR="0031734F" w:rsidRPr="00D65067">
        <w:rPr>
          <w:rFonts w:ascii="Times New Roman" w:hAnsi="Times New Roman" w:cs="Times New Roman"/>
          <w:sz w:val="20"/>
          <w:szCs w:val="20"/>
          <w:lang w:val="en-US"/>
        </w:rPr>
        <w:t>MS</w:t>
      </w:r>
      <w:r w:rsidRPr="00D65067">
        <w:rPr>
          <w:rFonts w:ascii="Times New Roman" w:hAnsi="Times New Roman" w:cs="Times New Roman"/>
          <w:sz w:val="20"/>
          <w:szCs w:val="20"/>
          <w:lang w:val="en-US"/>
        </w:rPr>
        <w:t xml:space="preserve"> are available at: </w:t>
      </w:r>
      <w:hyperlink r:id="rId3" w:history="1">
        <w:r w:rsidR="0031734F" w:rsidRPr="00D65067">
          <w:rPr>
            <w:rFonts w:ascii="Times New Roman" w:hAnsi="Times New Roman" w:cs="Times New Roman"/>
            <w:sz w:val="20"/>
            <w:szCs w:val="20"/>
            <w:lang w:val="en-US"/>
          </w:rPr>
          <w:t>https://euaa.europa.eu/operations/member-states-operations</w:t>
        </w:r>
      </w:hyperlink>
      <w:r w:rsidR="0031734F" w:rsidRPr="00D65067">
        <w:rPr>
          <w:rFonts w:ascii="Times New Roman" w:hAnsi="Times New Roman" w:cs="Times New Roman"/>
          <w:sz w:val="20"/>
          <w:szCs w:val="20"/>
          <w:lang w:val="en-US"/>
        </w:rPr>
        <w:t xml:space="preserve">, last access </w:t>
      </w:r>
      <w:r w:rsidR="009C3ACD" w:rsidRPr="00D65067">
        <w:rPr>
          <w:rFonts w:ascii="Times New Roman" w:hAnsi="Times New Roman" w:cs="Times New Roman"/>
          <w:sz w:val="20"/>
          <w:szCs w:val="20"/>
          <w:lang w:val="en-US"/>
        </w:rPr>
        <w:t>02/12/2022</w:t>
      </w:r>
      <w:r w:rsidR="0031734F" w:rsidRPr="00D65067">
        <w:rPr>
          <w:rFonts w:ascii="Times New Roman" w:hAnsi="Times New Roman" w:cs="Times New Roman"/>
          <w:sz w:val="20"/>
          <w:szCs w:val="20"/>
          <w:lang w:val="en-US"/>
        </w:rPr>
        <w:t>.</w:t>
      </w:r>
    </w:p>
  </w:footnote>
  <w:footnote w:id="21">
    <w:p w14:paraId="00000038" w14:textId="15A00A94" w:rsidR="00E23BBA" w:rsidRPr="00D65067" w:rsidRDefault="006768B0" w:rsidP="0031734F">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008F5382" w:rsidRPr="00D65067">
        <w:rPr>
          <w:rFonts w:ascii="Times New Roman" w:hAnsi="Times New Roman" w:cs="Times New Roman"/>
          <w:sz w:val="20"/>
          <w:szCs w:val="20"/>
          <w:lang w:val="en-US"/>
        </w:rPr>
        <w:t xml:space="preserve"> </w:t>
      </w:r>
      <w:r w:rsidRPr="00D65067">
        <w:rPr>
          <w:rFonts w:ascii="Times New Roman" w:hAnsi="Times New Roman" w:cs="Times New Roman"/>
          <w:sz w:val="20"/>
          <w:szCs w:val="20"/>
          <w:lang w:val="en-US"/>
        </w:rPr>
        <w:t>Artt 11(3), 18(2)(j), 22(4) EUAA Regulation.</w:t>
      </w:r>
    </w:p>
  </w:footnote>
  <w:footnote w:id="22">
    <w:p w14:paraId="00000039" w14:textId="1BD55C7C" w:rsidR="00E23BBA" w:rsidRPr="00D65067" w:rsidRDefault="006768B0" w:rsidP="0031734F">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w:t>
      </w:r>
      <w:r w:rsidR="0031734F" w:rsidRPr="00D65067">
        <w:rPr>
          <w:rFonts w:ascii="Times New Roman" w:hAnsi="Times New Roman" w:cs="Times New Roman"/>
          <w:sz w:val="20"/>
          <w:szCs w:val="20"/>
          <w:lang w:val="en-US"/>
        </w:rPr>
        <w:t>Operational Plan 2022-2024 Agreed by the European Union Agency for Asylum and Malta</w:t>
      </w:r>
      <w:r w:rsidRPr="00D65067">
        <w:rPr>
          <w:rFonts w:ascii="Times New Roman" w:hAnsi="Times New Roman" w:cs="Times New Roman"/>
          <w:sz w:val="20"/>
          <w:szCs w:val="20"/>
          <w:lang w:val="en-US"/>
        </w:rPr>
        <w:t>, pp 16-17.</w:t>
      </w:r>
    </w:p>
  </w:footnote>
  <w:footnote w:id="23">
    <w:p w14:paraId="0000003A" w14:textId="7090EB12" w:rsidR="00E23BBA" w:rsidRPr="00D65067" w:rsidRDefault="006768B0" w:rsidP="0031734F">
      <w:pPr>
        <w:spacing w:line="240" w:lineRule="auto"/>
        <w:jc w:val="both"/>
        <w:rPr>
          <w:rFonts w:ascii="Times New Roman" w:hAnsi="Times New Roman" w:cs="Times New Roman"/>
          <w:sz w:val="20"/>
          <w:szCs w:val="20"/>
          <w:lang w:val="it-IT"/>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Cfr for example Art 98 EBCG Regulation which explicitly refers to actions of annulment which can be brought before the CJEU against the acts of Frontex. Tovo noted that EUAA and EASA are the only two agencies whose founding Regulations do not identify to whom the acts are addressed nor by whom they are requested. </w:t>
      </w:r>
      <w:r w:rsidRPr="00D65067">
        <w:rPr>
          <w:rFonts w:ascii="Times New Roman" w:hAnsi="Times New Roman" w:cs="Times New Roman"/>
          <w:sz w:val="20"/>
          <w:szCs w:val="20"/>
          <w:lang w:val="it-IT"/>
        </w:rPr>
        <w:t>C Tovo, Le agenzie decentrate dell’Unione Europea, p 276, note 44</w:t>
      </w:r>
      <w:r w:rsidR="00EC58F1" w:rsidRPr="00D65067">
        <w:rPr>
          <w:rFonts w:ascii="Times New Roman" w:hAnsi="Times New Roman" w:cs="Times New Roman"/>
          <w:sz w:val="20"/>
          <w:szCs w:val="20"/>
          <w:lang w:val="it-IT"/>
        </w:rPr>
        <w:t>.</w:t>
      </w:r>
    </w:p>
  </w:footnote>
  <w:footnote w:id="24">
    <w:p w14:paraId="0000003B" w14:textId="77777777" w:rsidR="00E23BBA" w:rsidRPr="00D65067" w:rsidRDefault="006768B0" w:rsidP="0031734F">
      <w:pPr>
        <w:spacing w:line="240" w:lineRule="auto"/>
        <w:jc w:val="both"/>
        <w:rPr>
          <w:rFonts w:ascii="Times New Roman" w:hAnsi="Times New Roman" w:cs="Times New Roman"/>
          <w:sz w:val="20"/>
          <w:szCs w:val="20"/>
          <w:lang w:val="it-IT"/>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it-IT"/>
        </w:rPr>
        <w:t xml:space="preserve"> Recital 19 EUAA Regulation.</w:t>
      </w:r>
    </w:p>
  </w:footnote>
  <w:footnote w:id="25">
    <w:p w14:paraId="0000003C" w14:textId="586661AF" w:rsidR="00E23BBA" w:rsidRPr="00D65067" w:rsidRDefault="006768B0" w:rsidP="0031734F">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w:t>
      </w:r>
      <w:r w:rsidR="0031734F" w:rsidRPr="00D65067">
        <w:rPr>
          <w:rFonts w:ascii="Times New Roman" w:hAnsi="Times New Roman" w:cs="Times New Roman"/>
          <w:sz w:val="20"/>
          <w:szCs w:val="20"/>
          <w:lang w:val="en-US"/>
        </w:rPr>
        <w:t>Operational Plan 2022-2024 agreed by The European Union Agency For Asylum and Malta</w:t>
      </w:r>
      <w:r w:rsidRPr="00D65067">
        <w:rPr>
          <w:rFonts w:ascii="Times New Roman" w:hAnsi="Times New Roman" w:cs="Times New Roman"/>
          <w:sz w:val="20"/>
          <w:szCs w:val="20"/>
          <w:lang w:val="en-US"/>
        </w:rPr>
        <w:t>, p. 16.</w:t>
      </w:r>
    </w:p>
  </w:footnote>
  <w:footnote w:id="26">
    <w:p w14:paraId="00000040" w14:textId="401D27F1" w:rsidR="00E23BBA" w:rsidRPr="00D65067" w:rsidRDefault="006768B0" w:rsidP="0031734F">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w:t>
      </w:r>
      <w:r w:rsidR="009C3ACD" w:rsidRPr="00D65067">
        <w:rPr>
          <w:rFonts w:ascii="Times New Roman" w:hAnsi="Times New Roman" w:cs="Times New Roman"/>
          <w:sz w:val="20"/>
          <w:szCs w:val="20"/>
          <w:lang w:val="en-US"/>
        </w:rPr>
        <w:t>ibidem</w:t>
      </w:r>
    </w:p>
  </w:footnote>
  <w:footnote w:id="27">
    <w:p w14:paraId="00000042" w14:textId="661E402D" w:rsidR="00E23BBA" w:rsidRPr="00D65067" w:rsidRDefault="006768B0" w:rsidP="000F7187">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M Mouzourakis on behalf of ECRE, ‘The role of EASO Operations in National Asylum Systems:</w:t>
      </w:r>
      <w:r w:rsidR="008F5382" w:rsidRPr="00D65067">
        <w:rPr>
          <w:rFonts w:ascii="Times New Roman" w:hAnsi="Times New Roman" w:cs="Times New Roman"/>
          <w:sz w:val="20"/>
          <w:szCs w:val="20"/>
          <w:lang w:val="en-US"/>
        </w:rPr>
        <w:t xml:space="preserve"> </w:t>
      </w:r>
      <w:r w:rsidRPr="00D65067">
        <w:rPr>
          <w:rFonts w:ascii="Times New Roman" w:hAnsi="Times New Roman" w:cs="Times New Roman"/>
          <w:sz w:val="20"/>
          <w:szCs w:val="20"/>
          <w:lang w:val="en-US"/>
        </w:rPr>
        <w:t>An analysis of the current European Asylum Support Office (EASO) Operations involving deployment of experts in asylum procedures at Member State level’ (2018), p25.</w:t>
      </w:r>
    </w:p>
  </w:footnote>
  <w:footnote w:id="28">
    <w:p w14:paraId="00000043" w14:textId="03E09735" w:rsidR="00E23BBA" w:rsidRPr="00D65067" w:rsidRDefault="006768B0" w:rsidP="000F7187">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Article 14 </w:t>
      </w:r>
      <w:r w:rsidR="0031734F" w:rsidRPr="00D65067">
        <w:rPr>
          <w:rFonts w:ascii="Times New Roman" w:hAnsi="Times New Roman" w:cs="Times New Roman"/>
          <w:sz w:val="20"/>
          <w:szCs w:val="20"/>
          <w:lang w:val="en-US"/>
        </w:rPr>
        <w:t xml:space="preserve">Directive 2013/32/EU of The European Parliament and of The Council </w:t>
      </w:r>
      <w:r w:rsidRPr="00D65067">
        <w:rPr>
          <w:rFonts w:ascii="Times New Roman" w:hAnsi="Times New Roman" w:cs="Times New Roman"/>
          <w:sz w:val="20"/>
          <w:szCs w:val="20"/>
          <w:lang w:val="en-US"/>
        </w:rPr>
        <w:t>of 26 June 2013 on common procedures for granting and withdrawing international protection (recast), emphasis added.</w:t>
      </w:r>
    </w:p>
  </w:footnote>
  <w:footnote w:id="29">
    <w:p w14:paraId="00000044" w14:textId="77777777" w:rsidR="00E23BBA" w:rsidRPr="00D65067" w:rsidRDefault="006768B0" w:rsidP="000F7187">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Article 4(5)(e) 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 (recast).</w:t>
      </w:r>
    </w:p>
  </w:footnote>
  <w:footnote w:id="30">
    <w:p w14:paraId="00000045" w14:textId="7BE9977A" w:rsidR="00E23BBA" w:rsidRPr="00D65067" w:rsidRDefault="006768B0" w:rsidP="000F7187">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Case C-652/16, Nigyar Rauf Kaza Ahmedbekova, [2018] CJEU,</w:t>
      </w:r>
      <w:r w:rsidR="0031734F" w:rsidRPr="00D65067">
        <w:rPr>
          <w:rFonts w:ascii="Times New Roman" w:hAnsi="Times New Roman" w:cs="Times New Roman"/>
          <w:sz w:val="20"/>
          <w:szCs w:val="20"/>
          <w:lang w:val="en-US"/>
        </w:rPr>
        <w:t xml:space="preserve"> </w:t>
      </w:r>
      <w:r w:rsidRPr="00D65067">
        <w:rPr>
          <w:rFonts w:ascii="Times New Roman" w:hAnsi="Times New Roman" w:cs="Times New Roman"/>
          <w:sz w:val="20"/>
          <w:szCs w:val="20"/>
          <w:lang w:val="en-US"/>
        </w:rPr>
        <w:t>para 96.</w:t>
      </w:r>
    </w:p>
  </w:footnote>
  <w:footnote w:id="31">
    <w:p w14:paraId="00000046" w14:textId="37C28258" w:rsidR="00E23BBA" w:rsidRPr="00D65067" w:rsidRDefault="006768B0" w:rsidP="000F7187">
      <w:pPr>
        <w:spacing w:line="240" w:lineRule="auto"/>
        <w:jc w:val="both"/>
        <w:rPr>
          <w:rFonts w:ascii="Times New Roman" w:hAnsi="Times New Roman" w:cs="Times New Roman"/>
          <w:sz w:val="20"/>
          <w:szCs w:val="20"/>
          <w:lang w:val="it-IT"/>
        </w:rPr>
      </w:pPr>
      <w:r w:rsidRPr="00D65067">
        <w:rPr>
          <w:rFonts w:ascii="Times New Roman" w:hAnsi="Times New Roman" w:cs="Times New Roman"/>
          <w:sz w:val="20"/>
          <w:szCs w:val="20"/>
          <w:lang w:val="en-US"/>
        </w:rPr>
        <w:footnoteRef/>
      </w:r>
      <w:r w:rsidR="008F5382" w:rsidRPr="00D65067">
        <w:rPr>
          <w:rFonts w:ascii="Times New Roman" w:hAnsi="Times New Roman" w:cs="Times New Roman"/>
          <w:sz w:val="20"/>
          <w:szCs w:val="20"/>
          <w:lang w:val="it-IT"/>
        </w:rPr>
        <w:t xml:space="preserve"> </w:t>
      </w:r>
      <w:r w:rsidRPr="00D65067">
        <w:rPr>
          <w:rFonts w:ascii="Times New Roman" w:hAnsi="Times New Roman" w:cs="Times New Roman"/>
          <w:sz w:val="20"/>
          <w:szCs w:val="20"/>
          <w:lang w:val="it-IT"/>
        </w:rPr>
        <w:t xml:space="preserve">M Cometti, </w:t>
      </w:r>
      <w:r w:rsidR="0031734F" w:rsidRPr="00D65067">
        <w:rPr>
          <w:rFonts w:ascii="Times New Roman" w:hAnsi="Times New Roman" w:cs="Times New Roman"/>
          <w:sz w:val="20"/>
          <w:szCs w:val="20"/>
          <w:lang w:val="it-IT"/>
        </w:rPr>
        <w:t>‘La Trasformazione Dell’ufficio Europeo di Sostegno per l’Asilo in un’Agenzia Per l’Asilo: una lettura in prospettiva della proposta di riforma nel contesto del nuovo patto europeo su migrazione e asilo’(2021)</w:t>
      </w:r>
      <w:r w:rsidRPr="00D65067">
        <w:rPr>
          <w:rFonts w:ascii="Times New Roman" w:hAnsi="Times New Roman" w:cs="Times New Roman"/>
          <w:sz w:val="20"/>
          <w:szCs w:val="20"/>
          <w:lang w:val="it-IT"/>
        </w:rPr>
        <w:t xml:space="preserve"> Freedom Security and </w:t>
      </w:r>
      <w:r w:rsidR="0031734F" w:rsidRPr="00D65067">
        <w:rPr>
          <w:rFonts w:ascii="Times New Roman" w:hAnsi="Times New Roman" w:cs="Times New Roman"/>
          <w:sz w:val="20"/>
          <w:szCs w:val="20"/>
          <w:lang w:val="it-IT"/>
        </w:rPr>
        <w:t>J</w:t>
      </w:r>
      <w:r w:rsidRPr="00D65067">
        <w:rPr>
          <w:rFonts w:ascii="Times New Roman" w:hAnsi="Times New Roman" w:cs="Times New Roman"/>
          <w:sz w:val="20"/>
          <w:szCs w:val="20"/>
          <w:lang w:val="it-IT"/>
        </w:rPr>
        <w:t xml:space="preserve">ustice </w:t>
      </w:r>
    </w:p>
  </w:footnote>
  <w:footnote w:id="32">
    <w:p w14:paraId="7BF418CE" w14:textId="64B3356E" w:rsidR="00EC58F1" w:rsidRPr="00D65067" w:rsidRDefault="00EC58F1" w:rsidP="00EC58F1">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EUAA Website: </w:t>
      </w:r>
      <w:hyperlink r:id="rId4" w:history="1">
        <w:r w:rsidRPr="00D65067">
          <w:rPr>
            <w:rFonts w:ascii="Times New Roman" w:hAnsi="Times New Roman" w:cs="Times New Roman"/>
            <w:sz w:val="20"/>
            <w:szCs w:val="20"/>
            <w:lang w:val="en-US"/>
          </w:rPr>
          <w:t>https://euaa.europa.eu/about-us/what-we-do</w:t>
        </w:r>
      </w:hyperlink>
      <w:r w:rsidRPr="00D65067">
        <w:rPr>
          <w:rFonts w:ascii="Times New Roman" w:hAnsi="Times New Roman" w:cs="Times New Roman"/>
          <w:sz w:val="20"/>
          <w:szCs w:val="20"/>
          <w:lang w:val="en-US"/>
        </w:rPr>
        <w:t xml:space="preserve">, last access </w:t>
      </w:r>
      <w:r w:rsidR="009C3ACD" w:rsidRPr="00D65067">
        <w:rPr>
          <w:rFonts w:ascii="Times New Roman" w:hAnsi="Times New Roman" w:cs="Times New Roman"/>
          <w:sz w:val="20"/>
          <w:szCs w:val="20"/>
          <w:lang w:val="en-US"/>
        </w:rPr>
        <w:t>02/12/2022</w:t>
      </w:r>
      <w:r w:rsidRPr="00D65067">
        <w:rPr>
          <w:rFonts w:ascii="Times New Roman" w:hAnsi="Times New Roman" w:cs="Times New Roman"/>
          <w:sz w:val="20"/>
          <w:szCs w:val="20"/>
          <w:lang w:val="en-US"/>
        </w:rPr>
        <w:t>.</w:t>
      </w:r>
    </w:p>
  </w:footnote>
  <w:footnote w:id="33">
    <w:p w14:paraId="0D966B85" w14:textId="77777777" w:rsidR="00EC58F1" w:rsidRPr="00D65067" w:rsidRDefault="00EC58F1" w:rsidP="00EC58F1">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Case C-16/16 P, Belgium v European Commission (2018), para 32; see, to that effect, judgments of 13 February 2014, Hungary v Commission, </w:t>
      </w:r>
      <w:hyperlink r:id="rId5">
        <w:r w:rsidRPr="00D65067">
          <w:rPr>
            <w:rFonts w:ascii="Times New Roman" w:hAnsi="Times New Roman" w:cs="Times New Roman"/>
            <w:sz w:val="20"/>
            <w:szCs w:val="20"/>
            <w:lang w:val="en-US"/>
          </w:rPr>
          <w:t>C‑31/13 P</w:t>
        </w:r>
      </w:hyperlink>
      <w:r w:rsidRPr="00D65067">
        <w:rPr>
          <w:rFonts w:ascii="Times New Roman" w:hAnsi="Times New Roman" w:cs="Times New Roman"/>
          <w:sz w:val="20"/>
          <w:szCs w:val="20"/>
          <w:lang w:val="en-US"/>
        </w:rPr>
        <w:t xml:space="preserve">, </w:t>
      </w:r>
      <w:hyperlink r:id="rId6">
        <w:r w:rsidRPr="00D65067">
          <w:rPr>
            <w:rFonts w:ascii="Times New Roman" w:hAnsi="Times New Roman" w:cs="Times New Roman"/>
            <w:sz w:val="20"/>
            <w:szCs w:val="20"/>
            <w:lang w:val="en-US"/>
          </w:rPr>
          <w:t>EU:C:2014:70</w:t>
        </w:r>
      </w:hyperlink>
      <w:r w:rsidRPr="00D65067">
        <w:rPr>
          <w:rFonts w:ascii="Times New Roman" w:hAnsi="Times New Roman" w:cs="Times New Roman"/>
          <w:sz w:val="20"/>
          <w:szCs w:val="20"/>
          <w:lang w:val="en-US"/>
        </w:rPr>
        <w:t xml:space="preserve">, paragraph </w:t>
      </w:r>
      <w:hyperlink r:id="rId7" w:anchor="point55">
        <w:r w:rsidRPr="00D65067">
          <w:rPr>
            <w:rFonts w:ascii="Times New Roman" w:hAnsi="Times New Roman" w:cs="Times New Roman"/>
            <w:sz w:val="20"/>
            <w:szCs w:val="20"/>
            <w:lang w:val="en-US"/>
          </w:rPr>
          <w:t>55</w:t>
        </w:r>
      </w:hyperlink>
      <w:r w:rsidRPr="00D65067">
        <w:rPr>
          <w:rFonts w:ascii="Times New Roman" w:hAnsi="Times New Roman" w:cs="Times New Roman"/>
          <w:sz w:val="20"/>
          <w:szCs w:val="20"/>
          <w:lang w:val="en-US"/>
        </w:rPr>
        <w:t xml:space="preserve"> and the case-law cited, and of 25 October 2017, Slovakia v Commission, </w:t>
      </w:r>
      <w:hyperlink r:id="rId8">
        <w:r w:rsidRPr="00D65067">
          <w:rPr>
            <w:rFonts w:ascii="Times New Roman" w:hAnsi="Times New Roman" w:cs="Times New Roman"/>
            <w:sz w:val="20"/>
            <w:szCs w:val="20"/>
            <w:lang w:val="en-US"/>
          </w:rPr>
          <w:t>C‑593/15 P and C‑594/15 P</w:t>
        </w:r>
      </w:hyperlink>
      <w:r w:rsidRPr="00D65067">
        <w:rPr>
          <w:rFonts w:ascii="Times New Roman" w:hAnsi="Times New Roman" w:cs="Times New Roman"/>
          <w:sz w:val="20"/>
          <w:szCs w:val="20"/>
          <w:lang w:val="en-US"/>
        </w:rPr>
        <w:t xml:space="preserve">, </w:t>
      </w:r>
      <w:hyperlink r:id="rId9">
        <w:r w:rsidRPr="00D65067">
          <w:rPr>
            <w:rFonts w:ascii="Times New Roman" w:hAnsi="Times New Roman" w:cs="Times New Roman"/>
            <w:sz w:val="20"/>
            <w:szCs w:val="20"/>
            <w:lang w:val="en-US"/>
          </w:rPr>
          <w:t>EU:C:2017:800</w:t>
        </w:r>
      </w:hyperlink>
      <w:r w:rsidRPr="00D65067">
        <w:rPr>
          <w:rFonts w:ascii="Times New Roman" w:hAnsi="Times New Roman" w:cs="Times New Roman"/>
          <w:sz w:val="20"/>
          <w:szCs w:val="20"/>
          <w:lang w:val="en-US"/>
        </w:rPr>
        <w:t>, paragraph 47.</w:t>
      </w:r>
    </w:p>
  </w:footnote>
  <w:footnote w:id="34">
    <w:p w14:paraId="5EA777B9" w14:textId="77777777" w:rsidR="00EC58F1" w:rsidRPr="00D65067" w:rsidRDefault="00EC58F1" w:rsidP="00EC58F1">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Article 78(2)(e) TFUE</w:t>
      </w:r>
    </w:p>
  </w:footnote>
  <w:footnote w:id="35">
    <w:p w14:paraId="59A8ED11" w14:textId="77777777" w:rsidR="00EC58F1" w:rsidRPr="00D65067" w:rsidRDefault="00EC58F1" w:rsidP="00EC58F1">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Case C-31/13, Hungary v Commission (2014), CJEU, para 55 and case-law cited.</w:t>
      </w:r>
    </w:p>
  </w:footnote>
  <w:footnote w:id="36">
    <w:p w14:paraId="00000047" w14:textId="77777777" w:rsidR="00E23BBA" w:rsidRPr="00D65067" w:rsidRDefault="006768B0" w:rsidP="000F7187">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Article 263 TFEU.</w:t>
      </w:r>
    </w:p>
  </w:footnote>
  <w:footnote w:id="37">
    <w:p w14:paraId="00000048" w14:textId="25AA87C8" w:rsidR="00E23BBA" w:rsidRPr="00D65067" w:rsidRDefault="006768B0" w:rsidP="000F7187">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w:t>
      </w:r>
      <w:r w:rsidR="0031734F" w:rsidRPr="00D65067">
        <w:rPr>
          <w:rFonts w:ascii="Times New Roman" w:hAnsi="Times New Roman" w:cs="Times New Roman"/>
          <w:sz w:val="20"/>
          <w:szCs w:val="20"/>
          <w:lang w:val="en-US"/>
        </w:rPr>
        <w:t xml:space="preserve">Case C-270/12, </w:t>
      </w:r>
      <w:r w:rsidRPr="00D65067">
        <w:rPr>
          <w:rFonts w:ascii="Times New Roman" w:hAnsi="Times New Roman" w:cs="Times New Roman"/>
          <w:sz w:val="20"/>
          <w:szCs w:val="20"/>
          <w:lang w:val="en-US"/>
        </w:rPr>
        <w:t>Short-Selling</w:t>
      </w:r>
      <w:r w:rsidR="0031734F" w:rsidRPr="00D65067">
        <w:rPr>
          <w:rFonts w:ascii="Times New Roman" w:hAnsi="Times New Roman" w:cs="Times New Roman"/>
          <w:sz w:val="20"/>
          <w:szCs w:val="20"/>
          <w:lang w:val="en-US"/>
        </w:rPr>
        <w:t xml:space="preserve">, [2014] </w:t>
      </w:r>
      <w:r w:rsidRPr="00D65067">
        <w:rPr>
          <w:rFonts w:ascii="Times New Roman" w:hAnsi="Times New Roman" w:cs="Times New Roman"/>
          <w:sz w:val="20"/>
          <w:szCs w:val="20"/>
          <w:lang w:val="en-US"/>
        </w:rPr>
        <w:t xml:space="preserve">para 67 e 76-81; M Scholten, M Rijsbergen </w:t>
      </w:r>
      <w:r w:rsidR="0031734F" w:rsidRPr="00D65067">
        <w:rPr>
          <w:rFonts w:ascii="Times New Roman" w:hAnsi="Times New Roman" w:cs="Times New Roman"/>
          <w:sz w:val="20"/>
          <w:szCs w:val="20"/>
          <w:lang w:val="en-US"/>
        </w:rPr>
        <w:t>‘</w:t>
      </w:r>
      <w:r w:rsidRPr="00D65067">
        <w:rPr>
          <w:rFonts w:ascii="Times New Roman" w:hAnsi="Times New Roman" w:cs="Times New Roman"/>
          <w:sz w:val="20"/>
          <w:szCs w:val="20"/>
          <w:lang w:val="en-US"/>
        </w:rPr>
        <w:t>The limits of agencification in the European Union</w:t>
      </w:r>
      <w:r w:rsidR="0031734F" w:rsidRPr="00D65067">
        <w:rPr>
          <w:rFonts w:ascii="Times New Roman" w:hAnsi="Times New Roman" w:cs="Times New Roman"/>
          <w:sz w:val="20"/>
          <w:szCs w:val="20"/>
          <w:lang w:val="en-US"/>
        </w:rPr>
        <w:t>’,</w:t>
      </w:r>
      <w:r w:rsidRPr="00D65067">
        <w:rPr>
          <w:rFonts w:ascii="Times New Roman" w:hAnsi="Times New Roman" w:cs="Times New Roman"/>
          <w:sz w:val="20"/>
          <w:szCs w:val="20"/>
          <w:lang w:val="en-US"/>
        </w:rPr>
        <w:t xml:space="preserve"> </w:t>
      </w:r>
      <w:r w:rsidR="0031734F" w:rsidRPr="00D65067">
        <w:rPr>
          <w:rFonts w:ascii="Times New Roman" w:hAnsi="Times New Roman" w:cs="Times New Roman"/>
          <w:sz w:val="20"/>
          <w:szCs w:val="20"/>
          <w:lang w:val="en-US"/>
        </w:rPr>
        <w:t>German Law Journal, 15(7), 1223-1255.</w:t>
      </w:r>
    </w:p>
  </w:footnote>
  <w:footnote w:id="38">
    <w:p w14:paraId="00000049" w14:textId="77777777" w:rsidR="00E23BBA" w:rsidRPr="00D65067" w:rsidRDefault="006768B0" w:rsidP="000F7187">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Case C-463/10 and C-475/10 Deutsche Post [2011] CJEU, para 36.</w:t>
      </w:r>
    </w:p>
  </w:footnote>
  <w:footnote w:id="39">
    <w:p w14:paraId="0000004A" w14:textId="01D7FFC0" w:rsidR="00E23BBA" w:rsidRPr="00D65067" w:rsidRDefault="006768B0" w:rsidP="000F7187">
      <w:pPr>
        <w:spacing w:line="240" w:lineRule="auto"/>
        <w:jc w:val="both"/>
        <w:rPr>
          <w:rFonts w:ascii="Times New Roman" w:hAnsi="Times New Roman" w:cs="Times New Roman"/>
          <w:sz w:val="20"/>
          <w:szCs w:val="20"/>
          <w:lang w:val="it-IT"/>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it-IT"/>
        </w:rPr>
        <w:t xml:space="preserve"> D Vitiello, Le frontiere Esterne dell’Unione Europea, (Cacucci 2020)</w:t>
      </w:r>
      <w:r w:rsidR="0031734F" w:rsidRPr="00D65067">
        <w:rPr>
          <w:rFonts w:ascii="Times New Roman" w:hAnsi="Times New Roman" w:cs="Times New Roman"/>
          <w:sz w:val="20"/>
          <w:szCs w:val="20"/>
          <w:lang w:val="it-IT"/>
        </w:rPr>
        <w:t xml:space="preserve">, </w:t>
      </w:r>
      <w:r w:rsidRPr="00D65067">
        <w:rPr>
          <w:rFonts w:ascii="Times New Roman" w:hAnsi="Times New Roman" w:cs="Times New Roman"/>
          <w:sz w:val="20"/>
          <w:szCs w:val="20"/>
          <w:lang w:val="it-IT"/>
        </w:rPr>
        <w:t>p. 187.</w:t>
      </w:r>
    </w:p>
  </w:footnote>
  <w:footnote w:id="40">
    <w:p w14:paraId="0000004B" w14:textId="42301B88" w:rsidR="00E23BBA" w:rsidRPr="00D65067" w:rsidRDefault="006768B0" w:rsidP="000F7187">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009A22FA" w:rsidRPr="00D65067">
        <w:rPr>
          <w:rFonts w:ascii="Times New Roman" w:hAnsi="Times New Roman" w:cs="Times New Roman"/>
          <w:sz w:val="20"/>
          <w:szCs w:val="20"/>
          <w:lang w:val="en-US"/>
        </w:rPr>
        <w:t xml:space="preserve"> </w:t>
      </w:r>
      <w:r w:rsidRPr="00D65067">
        <w:rPr>
          <w:rFonts w:ascii="Times New Roman" w:hAnsi="Times New Roman" w:cs="Times New Roman"/>
          <w:sz w:val="20"/>
          <w:szCs w:val="20"/>
          <w:lang w:val="en-US"/>
        </w:rPr>
        <w:t>Joined Cases C-211/03, C-299/03 and C-316/03 to C‑318/03, Orthica and Others [2005] CJEU, para 93</w:t>
      </w:r>
      <w:r w:rsidR="0040208F" w:rsidRPr="00D65067">
        <w:rPr>
          <w:rFonts w:ascii="Times New Roman" w:hAnsi="Times New Roman" w:cs="Times New Roman"/>
          <w:sz w:val="20"/>
          <w:szCs w:val="20"/>
          <w:lang w:val="en-US"/>
        </w:rPr>
        <w:t xml:space="preserve">; </w:t>
      </w:r>
      <w:r w:rsidR="004F1712" w:rsidRPr="00D65067">
        <w:rPr>
          <w:rFonts w:ascii="Times New Roman" w:hAnsi="Times New Roman" w:cs="Times New Roman"/>
          <w:sz w:val="20"/>
          <w:szCs w:val="20"/>
          <w:lang w:val="en-US"/>
        </w:rPr>
        <w:t xml:space="preserve">Case T-193/04, </w:t>
      </w:r>
      <w:r w:rsidR="004F1712" w:rsidRPr="00D65067">
        <w:rPr>
          <w:rFonts w:ascii="Times New Roman" w:hAnsi="Times New Roman" w:cs="Times New Roman"/>
          <w:sz w:val="20"/>
          <w:szCs w:val="20"/>
          <w:lang w:val="it-IT"/>
        </w:rPr>
        <w:fldChar w:fldCharType="begin"/>
      </w:r>
      <w:r w:rsidR="002F6D4E" w:rsidRPr="00D65067">
        <w:rPr>
          <w:rFonts w:ascii="Times New Roman" w:hAnsi="Times New Roman" w:cs="Times New Roman"/>
          <w:sz w:val="20"/>
          <w:szCs w:val="20"/>
          <w:lang w:val="en-US"/>
        </w:rPr>
        <w:instrText xml:space="preserve"> ADDIN ZOTERO_ITEM CSL_CITATION {"citationID":"H2qYoNbe","properties":{"formattedCitation":"{\\i{}Hans-Martin Tillack v Commission of the European Communities} [2006] GC Case T-193/04.","plainCitation":"Hans-Martin Tillack v Commission of the European Communities [2006] GC Case T-193/04.","dontUpdate":true,"noteIndex":41},"citationItems":[{"id":43,"uris":["http://zotero.org/users/10585610/items/TPPKRVBE"],"itemData":{"id":43,"type":"legal_case","abstract":"Investigation by the European Anti-Fraud Office (OLAF) into the publication of confidential information - Suspicions of bribery and breach of professional secrecy - Communication to national judicial authorities of information relating to situations liable to lead to criminal proceedings - Search of the home and office of a journalist - Action for annulment - Admissibility - Action for damages - Causal link - Sufficiently serious breach","authority":"GC","language":"en","number":"Case T-193/04","title":"Hans-Martin Tillack v Commission of the European Communities","URL":"https://eur-lex.europa.eu/legal-content/en/TXT/?uri=CELEX:62004TJ0193","accessed":{"date-parts":[["2022",9,26]]},"issued":{"date-parts":[["2006",10,4]]}}}],"schema":"https://github.com/citation-style-language/schema/raw/master/csl-citation.json"} </w:instrText>
      </w:r>
      <w:r w:rsidR="004F1712" w:rsidRPr="00D65067">
        <w:rPr>
          <w:rFonts w:ascii="Times New Roman" w:hAnsi="Times New Roman" w:cs="Times New Roman"/>
          <w:sz w:val="20"/>
          <w:szCs w:val="20"/>
          <w:lang w:val="it-IT"/>
        </w:rPr>
        <w:fldChar w:fldCharType="separate"/>
      </w:r>
      <w:r w:rsidR="004F1712" w:rsidRPr="00D65067">
        <w:rPr>
          <w:rFonts w:ascii="Times New Roman" w:hAnsi="Times New Roman" w:cs="Times New Roman"/>
          <w:i/>
          <w:iCs/>
          <w:sz w:val="20"/>
          <w:szCs w:val="20"/>
          <w:lang w:val="en-US"/>
        </w:rPr>
        <w:t>Hans-Martin Tillack v Commission of the European Communities</w:t>
      </w:r>
      <w:r w:rsidR="004F1712" w:rsidRPr="00D65067">
        <w:rPr>
          <w:rFonts w:ascii="Times New Roman" w:hAnsi="Times New Roman" w:cs="Times New Roman"/>
          <w:sz w:val="20"/>
          <w:szCs w:val="20"/>
          <w:lang w:val="en-US"/>
        </w:rPr>
        <w:t xml:space="preserve"> [2006] GC EU:T:2006:292</w:t>
      </w:r>
      <w:r w:rsidR="004F1712" w:rsidRPr="00D65067">
        <w:rPr>
          <w:rFonts w:ascii="Times New Roman" w:hAnsi="Times New Roman" w:cs="Times New Roman"/>
          <w:sz w:val="20"/>
          <w:szCs w:val="20"/>
          <w:lang w:val="en-US"/>
        </w:rPr>
        <w:fldChar w:fldCharType="end"/>
      </w:r>
    </w:p>
  </w:footnote>
  <w:footnote w:id="41">
    <w:p w14:paraId="0000004C" w14:textId="4C3A8F35" w:rsidR="00E23BBA" w:rsidRPr="00D65067" w:rsidRDefault="006768B0" w:rsidP="000F7187">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P Craig, ‘Judicial Review and Judicial Deference’, in Controlling EU Agencies: The Rule of Law in a Multi-Jurisdictional Legal Order (eds), M Scholten and A Brenninkmeijer (2021)</w:t>
      </w:r>
      <w:r w:rsidR="0031734F" w:rsidRPr="00D65067">
        <w:rPr>
          <w:rFonts w:ascii="Times New Roman" w:hAnsi="Times New Roman" w:cs="Times New Roman"/>
          <w:sz w:val="20"/>
          <w:szCs w:val="20"/>
          <w:lang w:val="en-US"/>
        </w:rPr>
        <w:t>.</w:t>
      </w:r>
    </w:p>
  </w:footnote>
  <w:footnote w:id="42">
    <w:p w14:paraId="0000004D" w14:textId="6AA7FD42" w:rsidR="00E23BBA" w:rsidRPr="00D65067" w:rsidRDefault="006768B0" w:rsidP="000F7187">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C Tovo, </w:t>
      </w:r>
      <w:r w:rsidR="009A22FA" w:rsidRPr="00D65067">
        <w:rPr>
          <w:rFonts w:ascii="Times New Roman" w:hAnsi="Times New Roman" w:cs="Times New Roman"/>
          <w:sz w:val="20"/>
          <w:szCs w:val="20"/>
          <w:lang w:val="en-US"/>
        </w:rPr>
        <w:t>supra note 23</w:t>
      </w:r>
      <w:r w:rsidRPr="00D65067">
        <w:rPr>
          <w:rFonts w:ascii="Times New Roman" w:hAnsi="Times New Roman" w:cs="Times New Roman"/>
          <w:sz w:val="20"/>
          <w:szCs w:val="20"/>
          <w:lang w:val="en-US"/>
        </w:rPr>
        <w:t>; S Nicolosi and D Fernandez Rojo ‘Out of Control? The Case of the European Asylum Support Office’ in Controlling EU Agencies: The Rule of Law in a Multi-Jurisdictional Legal Order (eds), M Scholten and A</w:t>
      </w:r>
      <w:r w:rsidR="0031734F" w:rsidRPr="00D65067">
        <w:rPr>
          <w:rFonts w:ascii="Times New Roman" w:hAnsi="Times New Roman" w:cs="Times New Roman"/>
          <w:sz w:val="20"/>
          <w:szCs w:val="20"/>
          <w:lang w:val="en-US"/>
        </w:rPr>
        <w:t xml:space="preserve"> </w:t>
      </w:r>
      <w:r w:rsidRPr="00D65067">
        <w:rPr>
          <w:rFonts w:ascii="Times New Roman" w:hAnsi="Times New Roman" w:cs="Times New Roman"/>
          <w:sz w:val="20"/>
          <w:szCs w:val="20"/>
          <w:lang w:val="en-US"/>
        </w:rPr>
        <w:t>Brenninkmeijer (2021).</w:t>
      </w:r>
    </w:p>
  </w:footnote>
  <w:footnote w:id="43">
    <w:p w14:paraId="4523C12D" w14:textId="77777777" w:rsidR="009A22FA" w:rsidRPr="00D65067" w:rsidRDefault="009A22FA" w:rsidP="009A22FA">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Case T-179/00, Menarini v Commission [2002], CJEU, para 44-45; Case T-201/04, Microsoft v Commission [2007] CJEU, para 88.</w:t>
      </w:r>
    </w:p>
  </w:footnote>
  <w:footnote w:id="44">
    <w:p w14:paraId="0000004F" w14:textId="77777777" w:rsidR="00E23BBA" w:rsidRPr="00D65067" w:rsidRDefault="006768B0" w:rsidP="000F7187">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H Hoffmann et al (eds), Administrative Law and Policy of the European Union (Oxford 2019), pp 667-673.</w:t>
      </w:r>
    </w:p>
  </w:footnote>
  <w:footnote w:id="45">
    <w:p w14:paraId="00000050" w14:textId="78010E12" w:rsidR="00E23BBA" w:rsidRPr="00D65067" w:rsidRDefault="006768B0" w:rsidP="000F7187">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The center has an unenviable reputation as many riots have been breaking out over its poor conditions in the last years. As a way of example se: </w:t>
      </w:r>
      <w:hyperlink r:id="rId10">
        <w:r w:rsidRPr="00D65067">
          <w:rPr>
            <w:rFonts w:ascii="Times New Roman" w:hAnsi="Times New Roman" w:cs="Times New Roman"/>
            <w:sz w:val="20"/>
            <w:szCs w:val="20"/>
            <w:lang w:val="en-US"/>
          </w:rPr>
          <w:t>https://timesofmalta.com/articles/view/migrants-rounded-up-as-protest-flares-at-safi-detention-camp.745470</w:t>
        </w:r>
      </w:hyperlink>
      <w:r w:rsidRPr="00D65067">
        <w:rPr>
          <w:rFonts w:ascii="Times New Roman" w:hAnsi="Times New Roman" w:cs="Times New Roman"/>
          <w:sz w:val="20"/>
          <w:szCs w:val="20"/>
          <w:lang w:val="en-US"/>
        </w:rPr>
        <w:t>;</w:t>
      </w:r>
      <w:r w:rsidR="008F5382" w:rsidRPr="00D65067">
        <w:rPr>
          <w:rFonts w:ascii="Times New Roman" w:hAnsi="Times New Roman" w:cs="Times New Roman"/>
          <w:sz w:val="20"/>
          <w:szCs w:val="20"/>
          <w:lang w:val="en-US"/>
        </w:rPr>
        <w:t xml:space="preserve"> </w:t>
      </w:r>
      <w:hyperlink r:id="rId11">
        <w:r w:rsidRPr="00D65067">
          <w:rPr>
            <w:rFonts w:ascii="Times New Roman" w:hAnsi="Times New Roman" w:cs="Times New Roman"/>
            <w:sz w:val="20"/>
            <w:szCs w:val="20"/>
            <w:lang w:val="en-US"/>
          </w:rPr>
          <w:t>https://cde.news/malta-asylum-seeker-shot-by-security-official-in-safi-barracks-riot/</w:t>
        </w:r>
      </w:hyperlink>
      <w:r w:rsidRPr="00D65067">
        <w:rPr>
          <w:rFonts w:ascii="Times New Roman" w:hAnsi="Times New Roman" w:cs="Times New Roman"/>
          <w:sz w:val="20"/>
          <w:szCs w:val="20"/>
          <w:lang w:val="en-US"/>
        </w:rPr>
        <w:t>; https://timesofmalta.com/articles/view/1400-migrants-detained-illegally-at-marsa-and-safi-unhcr.760653</w:t>
      </w:r>
    </w:p>
  </w:footnote>
  <w:footnote w:id="46">
    <w:p w14:paraId="00000051" w14:textId="55EF3A10" w:rsidR="00E23BBA" w:rsidRPr="00D65067" w:rsidRDefault="006768B0" w:rsidP="000F7187">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Aditus and ECRE Country Report on Malta, available at: </w:t>
      </w:r>
      <w:hyperlink r:id="rId12">
        <w:r w:rsidRPr="00D65067">
          <w:rPr>
            <w:rFonts w:ascii="Times New Roman" w:hAnsi="Times New Roman" w:cs="Times New Roman"/>
            <w:sz w:val="20"/>
            <w:szCs w:val="20"/>
            <w:lang w:val="en-US"/>
          </w:rPr>
          <w:t>https://asylumineurope.org/wp-content/uploads/2022/05/AIDA-MT_2021update.pdf</w:t>
        </w:r>
      </w:hyperlink>
      <w:r w:rsidRPr="00D65067">
        <w:rPr>
          <w:rFonts w:ascii="Times New Roman" w:hAnsi="Times New Roman" w:cs="Times New Roman"/>
          <w:sz w:val="20"/>
          <w:szCs w:val="20"/>
          <w:lang w:val="en-US"/>
        </w:rPr>
        <w:t xml:space="preserve"> last access </w:t>
      </w:r>
      <w:r w:rsidR="009C3ACD" w:rsidRPr="00D65067">
        <w:rPr>
          <w:rFonts w:ascii="Times New Roman" w:hAnsi="Times New Roman" w:cs="Times New Roman"/>
          <w:sz w:val="20"/>
          <w:szCs w:val="20"/>
          <w:lang w:val="en-US"/>
        </w:rPr>
        <w:t>02/12/2022</w:t>
      </w:r>
      <w:r w:rsidRPr="00D65067">
        <w:rPr>
          <w:rFonts w:ascii="Times New Roman" w:hAnsi="Times New Roman" w:cs="Times New Roman"/>
          <w:sz w:val="20"/>
          <w:szCs w:val="20"/>
          <w:lang w:val="en-US"/>
        </w:rPr>
        <w:t>.</w:t>
      </w:r>
    </w:p>
  </w:footnote>
  <w:footnote w:id="47">
    <w:p w14:paraId="00000052" w14:textId="77777777" w:rsidR="00E23BBA" w:rsidRPr="00D65067" w:rsidRDefault="006768B0" w:rsidP="000F7187">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Chapter 36 of the laws of Malta, Prevention of Disease Ordinance, 10 August 1908.</w:t>
      </w:r>
    </w:p>
  </w:footnote>
  <w:footnote w:id="48">
    <w:p w14:paraId="00000053" w14:textId="215B3C88" w:rsidR="00E23BBA" w:rsidRPr="00D65067" w:rsidRDefault="006768B0" w:rsidP="000F7187">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w:t>
      </w:r>
      <w:r w:rsidR="0031734F" w:rsidRPr="00D65067">
        <w:rPr>
          <w:rFonts w:ascii="Times New Roman" w:hAnsi="Times New Roman" w:cs="Times New Roman"/>
          <w:sz w:val="20"/>
          <w:szCs w:val="20"/>
          <w:lang w:val="en-US"/>
        </w:rPr>
        <w:t>Commissioner for Human Rights of the Council of Europe Dunja Mijatović Report following her visit to Malta from 11 to 16 October 2021</w:t>
      </w:r>
      <w:r w:rsidR="009C3ACD" w:rsidRPr="00D65067">
        <w:rPr>
          <w:rFonts w:ascii="Times New Roman" w:hAnsi="Times New Roman" w:cs="Times New Roman"/>
          <w:sz w:val="20"/>
          <w:szCs w:val="20"/>
          <w:lang w:val="en-US"/>
        </w:rPr>
        <w:t xml:space="preserve">, </w:t>
      </w:r>
      <w:r w:rsidRPr="00D65067">
        <w:rPr>
          <w:rFonts w:ascii="Times New Roman" w:hAnsi="Times New Roman" w:cs="Times New Roman"/>
          <w:sz w:val="20"/>
          <w:szCs w:val="20"/>
          <w:lang w:val="en-US"/>
        </w:rPr>
        <w:t xml:space="preserve">available at: </w:t>
      </w:r>
      <w:hyperlink r:id="rId13">
        <w:r w:rsidRPr="00D65067">
          <w:rPr>
            <w:rFonts w:ascii="Times New Roman" w:hAnsi="Times New Roman" w:cs="Times New Roman"/>
            <w:sz w:val="20"/>
            <w:szCs w:val="20"/>
            <w:lang w:val="en-US"/>
          </w:rPr>
          <w:t>https://rm.coe.int/report-of-the-council-of-europe-commissioner-for-human-rights-dunja-mi/1680a5498d</w:t>
        </w:r>
      </w:hyperlink>
      <w:r w:rsidRPr="00D65067">
        <w:rPr>
          <w:rFonts w:ascii="Times New Roman" w:hAnsi="Times New Roman" w:cs="Times New Roman"/>
          <w:sz w:val="20"/>
          <w:szCs w:val="20"/>
          <w:lang w:val="en-US"/>
        </w:rPr>
        <w:t xml:space="preserve">, last access </w:t>
      </w:r>
      <w:r w:rsidR="009C3ACD" w:rsidRPr="00D65067">
        <w:rPr>
          <w:rFonts w:ascii="Times New Roman" w:hAnsi="Times New Roman" w:cs="Times New Roman"/>
          <w:sz w:val="20"/>
          <w:szCs w:val="20"/>
          <w:lang w:val="en-US"/>
        </w:rPr>
        <w:t>02/12/2022</w:t>
      </w:r>
      <w:r w:rsidRPr="00D65067">
        <w:rPr>
          <w:rFonts w:ascii="Times New Roman" w:hAnsi="Times New Roman" w:cs="Times New Roman"/>
          <w:sz w:val="20"/>
          <w:szCs w:val="20"/>
          <w:lang w:val="en-US"/>
        </w:rPr>
        <w:t>.</w:t>
      </w:r>
    </w:p>
  </w:footnote>
  <w:footnote w:id="49">
    <w:p w14:paraId="00000054" w14:textId="5AB99C0A" w:rsidR="00E23BBA" w:rsidRPr="00D65067" w:rsidRDefault="006768B0" w:rsidP="000F7187">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Aditus and ECRE Report, supra note 4</w:t>
      </w:r>
      <w:r w:rsidR="001359F3" w:rsidRPr="00D65067">
        <w:rPr>
          <w:rFonts w:ascii="Times New Roman" w:hAnsi="Times New Roman" w:cs="Times New Roman"/>
          <w:sz w:val="20"/>
          <w:szCs w:val="20"/>
          <w:lang w:val="en-US"/>
        </w:rPr>
        <w:t>6</w:t>
      </w:r>
      <w:r w:rsidRPr="00D65067">
        <w:rPr>
          <w:rFonts w:ascii="Times New Roman" w:hAnsi="Times New Roman" w:cs="Times New Roman"/>
          <w:sz w:val="20"/>
          <w:szCs w:val="20"/>
          <w:lang w:val="en-US"/>
        </w:rPr>
        <w:t>.</w:t>
      </w:r>
    </w:p>
  </w:footnote>
  <w:footnote w:id="50">
    <w:p w14:paraId="00000055" w14:textId="77777777" w:rsidR="00E23BBA" w:rsidRPr="00D65067" w:rsidRDefault="006768B0" w:rsidP="000F7187">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Report to the Maltese Government on the visit to Malta carried out by the European Committee for the Prevention of Torture and Inhuman or Degrading Treatment or Punishment (CPT) from 17 to 22 September 2020</w:t>
      </w:r>
    </w:p>
  </w:footnote>
  <w:footnote w:id="51">
    <w:p w14:paraId="00000056" w14:textId="4CF32DC8" w:rsidR="00E23BBA" w:rsidRPr="00D65067" w:rsidRDefault="006768B0" w:rsidP="000F7187">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w:t>
      </w:r>
      <w:r w:rsidR="0031734F" w:rsidRPr="00D65067">
        <w:rPr>
          <w:rFonts w:ascii="Times New Roman" w:hAnsi="Times New Roman" w:cs="Times New Roman"/>
          <w:sz w:val="20"/>
          <w:szCs w:val="20"/>
          <w:lang w:val="en-US"/>
        </w:rPr>
        <w:t xml:space="preserve">Commissioner for </w:t>
      </w:r>
      <w:r w:rsidR="009C3ACD" w:rsidRPr="00D65067">
        <w:rPr>
          <w:rFonts w:ascii="Times New Roman" w:hAnsi="Times New Roman" w:cs="Times New Roman"/>
          <w:sz w:val="20"/>
          <w:szCs w:val="20"/>
          <w:lang w:val="en-US"/>
        </w:rPr>
        <w:t>H</w:t>
      </w:r>
      <w:r w:rsidR="0031734F" w:rsidRPr="00D65067">
        <w:rPr>
          <w:rFonts w:ascii="Times New Roman" w:hAnsi="Times New Roman" w:cs="Times New Roman"/>
          <w:sz w:val="20"/>
          <w:szCs w:val="20"/>
          <w:lang w:val="en-US"/>
        </w:rPr>
        <w:t xml:space="preserve">uman </w:t>
      </w:r>
      <w:r w:rsidR="009C3ACD" w:rsidRPr="00D65067">
        <w:rPr>
          <w:rFonts w:ascii="Times New Roman" w:hAnsi="Times New Roman" w:cs="Times New Roman"/>
          <w:sz w:val="20"/>
          <w:szCs w:val="20"/>
          <w:lang w:val="en-US"/>
        </w:rPr>
        <w:t>Ri</w:t>
      </w:r>
      <w:r w:rsidR="0031734F" w:rsidRPr="00D65067">
        <w:rPr>
          <w:rFonts w:ascii="Times New Roman" w:hAnsi="Times New Roman" w:cs="Times New Roman"/>
          <w:sz w:val="20"/>
          <w:szCs w:val="20"/>
          <w:lang w:val="en-US"/>
        </w:rPr>
        <w:t xml:space="preserve">ghts of the Council of Europe Dunja Mijatović </w:t>
      </w:r>
      <w:r w:rsidR="009C3ACD" w:rsidRPr="00D65067">
        <w:rPr>
          <w:rFonts w:ascii="Times New Roman" w:hAnsi="Times New Roman" w:cs="Times New Roman"/>
          <w:sz w:val="20"/>
          <w:szCs w:val="20"/>
          <w:lang w:val="en-US"/>
        </w:rPr>
        <w:t>R</w:t>
      </w:r>
      <w:r w:rsidR="0031734F" w:rsidRPr="00D65067">
        <w:rPr>
          <w:rFonts w:ascii="Times New Roman" w:hAnsi="Times New Roman" w:cs="Times New Roman"/>
          <w:sz w:val="20"/>
          <w:szCs w:val="20"/>
          <w:lang w:val="en-US"/>
        </w:rPr>
        <w:t xml:space="preserve">eport following her visit to </w:t>
      </w:r>
      <w:r w:rsidR="001359F3" w:rsidRPr="00D65067">
        <w:rPr>
          <w:rFonts w:ascii="Times New Roman" w:hAnsi="Times New Roman" w:cs="Times New Roman"/>
          <w:sz w:val="20"/>
          <w:szCs w:val="20"/>
          <w:lang w:val="en-US"/>
        </w:rPr>
        <w:t>M</w:t>
      </w:r>
      <w:r w:rsidR="0031734F" w:rsidRPr="00D65067">
        <w:rPr>
          <w:rFonts w:ascii="Times New Roman" w:hAnsi="Times New Roman" w:cs="Times New Roman"/>
          <w:sz w:val="20"/>
          <w:szCs w:val="20"/>
          <w:lang w:val="en-US"/>
        </w:rPr>
        <w:t>alta</w:t>
      </w:r>
      <w:r w:rsidRPr="00D65067">
        <w:rPr>
          <w:rFonts w:ascii="Times New Roman" w:hAnsi="Times New Roman" w:cs="Times New Roman"/>
          <w:sz w:val="20"/>
          <w:szCs w:val="20"/>
          <w:lang w:val="en-US"/>
        </w:rPr>
        <w:t>, see supra note 4</w:t>
      </w:r>
      <w:r w:rsidR="009C3ACD" w:rsidRPr="00D65067">
        <w:rPr>
          <w:rFonts w:ascii="Times New Roman" w:hAnsi="Times New Roman" w:cs="Times New Roman"/>
          <w:sz w:val="20"/>
          <w:szCs w:val="20"/>
          <w:lang w:val="en-US"/>
        </w:rPr>
        <w:t>8</w:t>
      </w:r>
      <w:r w:rsidRPr="00D65067">
        <w:rPr>
          <w:rFonts w:ascii="Times New Roman" w:hAnsi="Times New Roman" w:cs="Times New Roman"/>
          <w:sz w:val="20"/>
          <w:szCs w:val="20"/>
          <w:lang w:val="en-US"/>
        </w:rPr>
        <w:t>.</w:t>
      </w:r>
    </w:p>
  </w:footnote>
  <w:footnote w:id="52">
    <w:p w14:paraId="00000057" w14:textId="00A38FB0" w:rsidR="00E23BBA" w:rsidRPr="00D65067" w:rsidRDefault="006768B0" w:rsidP="000F7187">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See: </w:t>
      </w:r>
      <w:hyperlink r:id="rId14">
        <w:r w:rsidRPr="00D65067">
          <w:rPr>
            <w:rFonts w:ascii="Times New Roman" w:hAnsi="Times New Roman" w:cs="Times New Roman"/>
            <w:sz w:val="20"/>
            <w:szCs w:val="20"/>
            <w:lang w:val="en-US"/>
          </w:rPr>
          <w:t>https://timesofmalta.com/articles/view/reports-of-torturing-detained-migrants-manuel-delia.848085</w:t>
        </w:r>
      </w:hyperlink>
      <w:r w:rsidRPr="00D65067">
        <w:rPr>
          <w:rFonts w:ascii="Times New Roman" w:hAnsi="Times New Roman" w:cs="Times New Roman"/>
          <w:sz w:val="20"/>
          <w:szCs w:val="20"/>
          <w:lang w:val="en-US"/>
        </w:rPr>
        <w:t xml:space="preserve"> access </w:t>
      </w:r>
      <w:r w:rsidR="009C3ACD" w:rsidRPr="00D65067">
        <w:rPr>
          <w:rFonts w:ascii="Times New Roman" w:hAnsi="Times New Roman" w:cs="Times New Roman"/>
          <w:sz w:val="20"/>
          <w:szCs w:val="20"/>
          <w:lang w:val="en-US"/>
        </w:rPr>
        <w:t>last access 02/12/2022</w:t>
      </w:r>
      <w:r w:rsidRPr="00D65067">
        <w:rPr>
          <w:rFonts w:ascii="Times New Roman" w:hAnsi="Times New Roman" w:cs="Times New Roman"/>
          <w:sz w:val="20"/>
          <w:szCs w:val="20"/>
          <w:lang w:val="en-US"/>
        </w:rPr>
        <w:t>.</w:t>
      </w:r>
    </w:p>
  </w:footnote>
  <w:footnote w:id="53">
    <w:p w14:paraId="00000058" w14:textId="77777777" w:rsidR="00E23BBA" w:rsidRPr="00D65067" w:rsidRDefault="006768B0" w:rsidP="000F7187">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Operational Plan, p. 7. </w:t>
      </w:r>
    </w:p>
  </w:footnote>
  <w:footnote w:id="54">
    <w:p w14:paraId="0000005A" w14:textId="07B6B08B" w:rsidR="00E23BBA" w:rsidRPr="00D65067" w:rsidRDefault="006768B0" w:rsidP="000F7187">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Feilazoo v Malta [2021] ECHR 6865/19; Aden Ahmed v Malta [2013] ECHR 55352/12; Suso Musa v Malta [2013] ECHR 42337/12; Louled Massoud v Malta [2010] ECHR 24340/08.</w:t>
      </w:r>
    </w:p>
  </w:footnote>
  <w:footnote w:id="55">
    <w:p w14:paraId="0000005B" w14:textId="77777777" w:rsidR="00E23BBA" w:rsidRPr="00D65067" w:rsidRDefault="006768B0" w:rsidP="000F7187">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Recital 45 EUAA Regulation </w:t>
      </w:r>
    </w:p>
  </w:footnote>
  <w:footnote w:id="56">
    <w:p w14:paraId="0000005F" w14:textId="583EB64D" w:rsidR="00E23BBA" w:rsidRPr="00D65067" w:rsidRDefault="006768B0" w:rsidP="009C3ACD">
      <w:pPr>
        <w:spacing w:line="240" w:lineRule="auto"/>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S Nicolosi and E Omičević, </w:t>
      </w:r>
      <w:r w:rsidR="009C3ACD" w:rsidRPr="00D65067">
        <w:rPr>
          <w:rFonts w:ascii="Times New Roman" w:hAnsi="Times New Roman" w:cs="Times New Roman"/>
          <w:sz w:val="20"/>
          <w:szCs w:val="20"/>
          <w:lang w:val="en-US"/>
        </w:rPr>
        <w:t>The Rise of EU Migration Agencies: Striking a Balance between Enforcement Needs and Access to Justice</w:t>
      </w:r>
      <w:r w:rsidRPr="00D65067">
        <w:rPr>
          <w:rFonts w:ascii="Times New Roman" w:hAnsi="Times New Roman" w:cs="Times New Roman"/>
          <w:sz w:val="20"/>
          <w:szCs w:val="20"/>
          <w:lang w:val="en-US"/>
        </w:rPr>
        <w:t xml:space="preserve">, </w:t>
      </w:r>
      <w:r w:rsidR="009C3ACD" w:rsidRPr="00D65067">
        <w:rPr>
          <w:rFonts w:ascii="Times New Roman" w:hAnsi="Times New Roman" w:cs="Times New Roman"/>
          <w:sz w:val="20"/>
          <w:szCs w:val="20"/>
          <w:lang w:val="en-US"/>
        </w:rPr>
        <w:t>Je</w:t>
      </w:r>
      <w:r w:rsidRPr="00D65067">
        <w:rPr>
          <w:rFonts w:ascii="Times New Roman" w:hAnsi="Times New Roman" w:cs="Times New Roman"/>
          <w:sz w:val="20"/>
          <w:szCs w:val="20"/>
          <w:lang w:val="en-US"/>
        </w:rPr>
        <w:t>an Monnet Network Conference on EU Law Enforcement, Working Paper Series, Deusto, 2 June 2022</w:t>
      </w:r>
      <w:r w:rsidR="009C3ACD" w:rsidRPr="00D65067">
        <w:rPr>
          <w:rFonts w:ascii="Times New Roman" w:hAnsi="Times New Roman" w:cs="Times New Roman"/>
          <w:sz w:val="20"/>
          <w:szCs w:val="20"/>
          <w:lang w:val="en-US"/>
        </w:rPr>
        <w:t>.</w:t>
      </w:r>
    </w:p>
    <w:p w14:paraId="00000060" w14:textId="500CB3FC" w:rsidR="00E23BBA" w:rsidRPr="00D65067" w:rsidRDefault="00E13015" w:rsidP="000F7187">
      <w:pPr>
        <w:spacing w:line="240" w:lineRule="auto"/>
        <w:jc w:val="both"/>
        <w:rPr>
          <w:rFonts w:ascii="Times New Roman" w:hAnsi="Times New Roman" w:cs="Times New Roman"/>
          <w:sz w:val="20"/>
          <w:szCs w:val="20"/>
          <w:lang w:val="en-US"/>
        </w:rPr>
      </w:pPr>
      <w:hyperlink r:id="rId15">
        <w:r w:rsidR="006768B0" w:rsidRPr="00D65067">
          <w:rPr>
            <w:rFonts w:ascii="Times New Roman" w:hAnsi="Times New Roman" w:cs="Times New Roman"/>
            <w:sz w:val="20"/>
            <w:szCs w:val="20"/>
            <w:lang w:val="en-US"/>
          </w:rPr>
          <w:t>https://jmn-eulen.nl/wp-content/uploads/sites/575/2022/05/WP-Series-No.-16-22-THE-RISE-OF-EU-MIGRATION-AGENCIES-Striking-a-Balance-Between-Enforcement-Needs-and-Access-to-Justice-Nicolosi-Omicevic.pdf</w:t>
        </w:r>
      </w:hyperlink>
      <w:r w:rsidR="006768B0" w:rsidRPr="00D65067">
        <w:rPr>
          <w:rFonts w:ascii="Times New Roman" w:hAnsi="Times New Roman" w:cs="Times New Roman"/>
          <w:sz w:val="20"/>
          <w:szCs w:val="20"/>
          <w:lang w:val="en-US"/>
        </w:rPr>
        <w:t xml:space="preserve"> last access </w:t>
      </w:r>
      <w:r w:rsidR="009C3ACD" w:rsidRPr="00D65067">
        <w:rPr>
          <w:rFonts w:ascii="Times New Roman" w:hAnsi="Times New Roman" w:cs="Times New Roman"/>
          <w:sz w:val="20"/>
          <w:szCs w:val="20"/>
          <w:lang w:val="en-US"/>
        </w:rPr>
        <w:t>02/12/2022</w:t>
      </w:r>
      <w:r w:rsidR="006768B0" w:rsidRPr="00D65067">
        <w:rPr>
          <w:rFonts w:ascii="Times New Roman" w:hAnsi="Times New Roman" w:cs="Times New Roman"/>
          <w:sz w:val="20"/>
          <w:szCs w:val="20"/>
          <w:lang w:val="en-US"/>
        </w:rPr>
        <w:t>.</w:t>
      </w:r>
    </w:p>
  </w:footnote>
  <w:footnote w:id="57">
    <w:p w14:paraId="0000005C" w14:textId="77777777" w:rsidR="00E23BBA" w:rsidRPr="00D65067" w:rsidRDefault="006768B0" w:rsidP="000F7187">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Case T-282/21 SS and ST v Frontex, (Pending) CJEU.</w:t>
      </w:r>
    </w:p>
  </w:footnote>
  <w:footnote w:id="58">
    <w:p w14:paraId="0000005D" w14:textId="48452C1E" w:rsidR="00E23BBA" w:rsidRPr="00D65067" w:rsidRDefault="006768B0" w:rsidP="000F7187">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C Ziebritzki, Refugee Camps at EU External Borders, the Question of the Union’s Responsibility, and the Potential of EU Public Liability Law, available at:</w:t>
      </w:r>
      <w:r w:rsidRPr="00D65067">
        <w:rPr>
          <w:rFonts w:ascii="Times New Roman" w:hAnsi="Times New Roman" w:cs="Times New Roman"/>
          <w:sz w:val="20"/>
          <w:szCs w:val="20"/>
          <w:lang w:val="en-US"/>
        </w:rPr>
        <w:tab/>
        <w:t xml:space="preserve">https://verfassungsblog.de/refugee-camps-at-eu-external-borders-the-question-of-the- unions-responsibility-and-the-potential-of-eu-public-liability-law/, last access </w:t>
      </w:r>
      <w:r w:rsidR="009C3ACD" w:rsidRPr="00D65067">
        <w:rPr>
          <w:rFonts w:ascii="Times New Roman" w:hAnsi="Times New Roman" w:cs="Times New Roman"/>
          <w:sz w:val="20"/>
          <w:szCs w:val="20"/>
          <w:lang w:val="en-US"/>
        </w:rPr>
        <w:t>02/12/2022</w:t>
      </w:r>
      <w:r w:rsidRPr="00D65067">
        <w:rPr>
          <w:rFonts w:ascii="Times New Roman" w:hAnsi="Times New Roman" w:cs="Times New Roman"/>
          <w:sz w:val="20"/>
          <w:szCs w:val="20"/>
          <w:lang w:val="en-US"/>
        </w:rPr>
        <w:t>.</w:t>
      </w:r>
    </w:p>
  </w:footnote>
  <w:footnote w:id="59">
    <w:p w14:paraId="31E168FE" w14:textId="77777777" w:rsidR="00437797" w:rsidRPr="00D65067" w:rsidRDefault="00437797" w:rsidP="00437797">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M Fink, ‘The Action for Damages as a Fundamental Rights Remedy: Holding Frontex Liable’, Published online by Cambridge University Press: 08 April 2020 https://www.cambridge.org/core/journals/german-law-journal/article/action-for-dama ges-as-a-fundamental-rights-remedy-holding-frontex-liable/8350DBBC6DC5F504D4 14F26E61B0FB8C</w:t>
      </w:r>
    </w:p>
  </w:footnote>
  <w:footnote w:id="60">
    <w:p w14:paraId="108370C8" w14:textId="77777777" w:rsidR="00437797" w:rsidRPr="00D65067" w:rsidRDefault="00437797" w:rsidP="00437797">
      <w:pPr>
        <w:pStyle w:val="FootnoteText"/>
        <w:jc w:val="both"/>
        <w:rPr>
          <w:lang w:val="en-US"/>
        </w:rPr>
      </w:pPr>
      <w:r w:rsidRPr="00D65067">
        <w:rPr>
          <w:rStyle w:val="FootnoteReference"/>
        </w:rPr>
        <w:footnoteRef/>
      </w:r>
      <w:r w:rsidRPr="00D65067">
        <w:rPr>
          <w:lang w:val="en-US"/>
        </w:rPr>
        <w:t xml:space="preserve"> Case 4-69, </w:t>
      </w:r>
      <w:r w:rsidRPr="00D65067">
        <w:fldChar w:fldCharType="begin"/>
      </w:r>
      <w:r w:rsidRPr="00D65067">
        <w:rPr>
          <w:lang w:val="en-US"/>
        </w:rPr>
        <w:instrText xml:space="preserve"> ADDIN ZOTERO_ITEM CSL_CITATION {"citationID":"y1mWnY25","properties":{"formattedCitation":"{\\i{}Alfons L\\uc0\\u252{}tticke GmbH v Commission of the European Communities} [1971] ECJ Case 4-69.","plainCitation":"Alfons Lütticke GmbH v Commission of the European Communities [1971] ECJ Case 4-69.","noteIndex":82},"citationItems":[{"id":98,"uris":["http://zotero.org/users/local/fYFOMKMC/items/5I6PQDHF"],"itemData":{"id":98,"type":"legal_case","abstract":"Alfons Lütticke GmbH v Commission of the European Communities","authority":"ECJ","language":"en","number":"Case 4-69","title":"Alfons Lütticke GmbH v Commission of the European Communities","URL":"https://eur-lex.europa.eu/legal-content/EN/TXT/?uri=CELEX:61969CJ0004","accessed":{"date-parts":[["2022",9,28]]},"issued":{"date-parts":[["1971",4,28]]}}}],"schema":"https://github.com/citation-style-language/schema/raw/master/csl-citation.json"} </w:instrText>
      </w:r>
      <w:r w:rsidRPr="00D65067">
        <w:fldChar w:fldCharType="separate"/>
      </w:r>
      <w:r w:rsidRPr="00D65067">
        <w:rPr>
          <w:i/>
          <w:iCs/>
          <w:lang w:val="en-US"/>
        </w:rPr>
        <w:t>Alfons Lütticke GmbH v Commission of the European Communities</w:t>
      </w:r>
      <w:r w:rsidRPr="00D65067">
        <w:rPr>
          <w:lang w:val="en-US"/>
        </w:rPr>
        <w:t xml:space="preserve"> [1971] ECJ EU:C:1971:40</w:t>
      </w:r>
      <w:r w:rsidRPr="00D65067">
        <w:fldChar w:fldCharType="end"/>
      </w:r>
    </w:p>
  </w:footnote>
  <w:footnote w:id="61">
    <w:p w14:paraId="378AC8D0" w14:textId="7BB5C3B9" w:rsidR="00CC4699" w:rsidRPr="00D65067" w:rsidRDefault="00437797" w:rsidP="00CC4699">
      <w:pPr>
        <w:pStyle w:val="FootnoteText"/>
        <w:jc w:val="both"/>
        <w:rPr>
          <w:b/>
          <w:bCs/>
          <w:lang w:val="en-US"/>
        </w:rPr>
      </w:pPr>
      <w:r w:rsidRPr="00D65067">
        <w:rPr>
          <w:rStyle w:val="FootnoteReference"/>
        </w:rPr>
        <w:footnoteRef/>
      </w:r>
      <w:r w:rsidRPr="00D65067">
        <w:rPr>
          <w:lang w:val="en-US"/>
        </w:rPr>
        <w:t xml:space="preserve"> </w:t>
      </w:r>
      <w:r w:rsidRPr="00D65067">
        <w:rPr>
          <w:highlight w:val="white"/>
          <w:lang w:val="en-US"/>
        </w:rPr>
        <w:t>Case T-136/22</w:t>
      </w:r>
      <w:r w:rsidRPr="00D65067">
        <w:rPr>
          <w:lang w:val="en-US"/>
        </w:rPr>
        <w:t xml:space="preserve">, </w:t>
      </w:r>
      <w:r w:rsidRPr="00D65067">
        <w:rPr>
          <w:i/>
          <w:iCs/>
          <w:lang w:val="en-US"/>
        </w:rPr>
        <w:t>Hamoudi</w:t>
      </w:r>
      <w:r w:rsidRPr="00D65067">
        <w:rPr>
          <w:lang w:val="en-US"/>
        </w:rPr>
        <w:t xml:space="preserve"> [2022] ECJ </w:t>
      </w:r>
      <w:r w:rsidRPr="00D65067">
        <w:rPr>
          <w:highlight w:val="white"/>
          <w:lang w:val="en-US"/>
        </w:rPr>
        <w:t xml:space="preserve">(pending). On this </w:t>
      </w:r>
      <w:r w:rsidR="00CC4699" w:rsidRPr="00D65067">
        <w:rPr>
          <w:lang w:val="en-US"/>
        </w:rPr>
        <w:t xml:space="preserve">S Nicolosi </w:t>
      </w:r>
      <w:r w:rsidR="00CC4699" w:rsidRPr="00D65067">
        <w:rPr>
          <w:lang w:val="en-US"/>
        </w:rPr>
        <w:fldChar w:fldCharType="begin"/>
      </w:r>
      <w:r w:rsidR="00CC4699" w:rsidRPr="00D65067">
        <w:rPr>
          <w:lang w:val="en-US"/>
        </w:rPr>
        <w:instrText xml:space="preserve"> ADDIN ZOTERO_ITEM CSL_CITATION {"citationID":"7mI1T1MJ","properties":{"formattedCitation":"\\uc0\\u8220{}Frontex and Migrants\\uc0\\u8217{} Access to Justice\\uc0\\u8221{}, https://verfassungsblog.de/frontex-and-migrants-access-to-justice/ viewed 28 September 2022.","plainCitation":"“Frontex and Migrants’ Access to Justice”, https://verfassungsblog.de/frontex-and-migrants-access-to-justice/ viewed 28 September 2022.","dontUpdate":true,"noteIndex":78},"citationItems":[{"id":90,"uris":["http://zotero.org/users/local/fYFOMKMC/items/9VTHBEC9"],"itemData":{"id":90,"type":"post-weblog","abstract":"While possibly marking a step in the right direction towards more political accountability, the controversial resignation of Frontex’s former Executive Director, Fabrice Leggeri, leaves open the question about the effective judicial protection for migrants interacting with the","container-title":"Verfassungsblog","language":"de-DE","title":"Frontex and Migrants’ Access to Justice","URL":"https://verfassungsblog.de/frontex-and-migrants-access-to-justice/","accessed":{"date-parts":[["2022",9,28]]}}}],"schema":"https://github.com/citation-style-language/schema/raw/master/csl-citation.json"} </w:instrText>
      </w:r>
      <w:r w:rsidR="00CC4699" w:rsidRPr="00D65067">
        <w:rPr>
          <w:lang w:val="en-US"/>
        </w:rPr>
        <w:fldChar w:fldCharType="separate"/>
      </w:r>
      <w:r w:rsidR="00CC4699" w:rsidRPr="00D65067">
        <w:rPr>
          <w:lang w:val="en-US"/>
        </w:rPr>
        <w:t>“Frontex and Migrants’ Access to Justice”, https://verfassungsblog.de/frontex-and-migrants-access-to-justice/ accessed 02/12/2022.</w:t>
      </w:r>
      <w:r w:rsidR="00CC4699" w:rsidRPr="00D65067">
        <w:rPr>
          <w:lang w:val="en-US"/>
        </w:rPr>
        <w:fldChar w:fldCharType="end"/>
      </w:r>
    </w:p>
    <w:p w14:paraId="7F313715" w14:textId="62469D24" w:rsidR="00437797" w:rsidRPr="00D65067" w:rsidRDefault="00437797" w:rsidP="00437797">
      <w:pPr>
        <w:jc w:val="both"/>
        <w:rPr>
          <w:rFonts w:ascii="Times New Roman" w:hAnsi="Times New Roman" w:cs="Times New Roman"/>
          <w:sz w:val="20"/>
          <w:szCs w:val="20"/>
          <w:lang w:val="en-US"/>
        </w:rPr>
      </w:pPr>
    </w:p>
  </w:footnote>
  <w:footnote w:id="62">
    <w:p w14:paraId="00000063" w14:textId="77777777" w:rsidR="00E23BBA" w:rsidRPr="00D65067" w:rsidRDefault="006768B0" w:rsidP="000F7187">
      <w:pPr>
        <w:spacing w:line="240" w:lineRule="auto"/>
        <w:jc w:val="both"/>
        <w:rPr>
          <w:rFonts w:ascii="Times New Roman" w:hAnsi="Times New Roman" w:cs="Times New Roman"/>
          <w:sz w:val="20"/>
          <w:szCs w:val="20"/>
          <w:lang w:val="en-US"/>
        </w:rPr>
      </w:pPr>
      <w:r w:rsidRPr="00D65067">
        <w:rPr>
          <w:rFonts w:ascii="Times New Roman" w:hAnsi="Times New Roman" w:cs="Times New Roman"/>
          <w:sz w:val="20"/>
          <w:szCs w:val="20"/>
          <w:lang w:val="en-US"/>
        </w:rPr>
        <w:footnoteRef/>
      </w:r>
      <w:r w:rsidRPr="00D65067">
        <w:rPr>
          <w:rFonts w:ascii="Times New Roman" w:hAnsi="Times New Roman" w:cs="Times New Roman"/>
          <w:sz w:val="20"/>
          <w:szCs w:val="20"/>
          <w:lang w:val="en-US"/>
        </w:rPr>
        <w:t xml:space="preserve"> S Schneider and C Niewswandt, ‘EASO - Support Office or Asylum Authority? Boundary Disputes in the European Field of Asylum Administration’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4776492"/>
      <w:docPartObj>
        <w:docPartGallery w:val="Page Numbers (Top of Page)"/>
        <w:docPartUnique/>
      </w:docPartObj>
    </w:sdtPr>
    <w:sdtEndPr>
      <w:rPr>
        <w:rStyle w:val="PageNumber"/>
      </w:rPr>
    </w:sdtEndPr>
    <w:sdtContent>
      <w:p w14:paraId="7DFA2BFB" w14:textId="2C6B1C95" w:rsidR="00DE7F93" w:rsidRDefault="00DE7F93" w:rsidP="006661EE">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9230253"/>
      <w:docPartObj>
        <w:docPartGallery w:val="Page Numbers (Top of Page)"/>
        <w:docPartUnique/>
      </w:docPartObj>
    </w:sdtPr>
    <w:sdtEndPr>
      <w:rPr>
        <w:rStyle w:val="PageNumber"/>
      </w:rPr>
    </w:sdtEndPr>
    <w:sdtContent>
      <w:p w14:paraId="0AA6367C" w14:textId="79105761" w:rsidR="00DE7F93" w:rsidRDefault="00DE7F93" w:rsidP="00DE7F93">
        <w:pPr>
          <w:pStyle w:val="Head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FD310C" w14:textId="77777777" w:rsidR="004A0860" w:rsidRDefault="004A0860" w:rsidP="00DE7F93">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0560112"/>
      <w:docPartObj>
        <w:docPartGallery w:val="Page Numbers (Top of Page)"/>
        <w:docPartUnique/>
      </w:docPartObj>
    </w:sdtPr>
    <w:sdtEndPr>
      <w:rPr>
        <w:rStyle w:val="PageNumber"/>
      </w:rPr>
    </w:sdtEndPr>
    <w:sdtContent>
      <w:p w14:paraId="40832445" w14:textId="019EFDB5" w:rsidR="00DE7F93" w:rsidRDefault="00DE7F93" w:rsidP="006661EE">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000021" w14:textId="18612E1C" w:rsidR="00E23BBA" w:rsidRDefault="004A0860" w:rsidP="00DE7F93">
    <w:pPr>
      <w:shd w:val="clear" w:color="auto" w:fill="FFFFFF"/>
      <w:ind w:firstLine="360"/>
      <w:jc w:val="center"/>
    </w:pPr>
    <w:r w:rsidRPr="00A45639">
      <w:rPr>
        <w:rFonts w:ascii="Times New Roman" w:hAnsi="Times New Roman" w:cs="Times New Roman"/>
        <w:i/>
        <w:iCs/>
        <w:noProof/>
      </w:rPr>
      <w:t>J</w:t>
    </w:r>
    <w:r>
      <w:rPr>
        <w:rFonts w:ascii="Times New Roman" w:hAnsi="Times New Roman" w:cs="Times New Roman"/>
        <w:i/>
        <w:iCs/>
        <w:noProof/>
      </w:rPr>
      <w:t xml:space="preserve">MN </w:t>
    </w:r>
    <w:r w:rsidRPr="00A45639">
      <w:rPr>
        <w:rFonts w:ascii="Times New Roman" w:hAnsi="Times New Roman" w:cs="Times New Roman"/>
        <w:i/>
        <w:iCs/>
        <w:noProof/>
      </w:rPr>
      <w:t>EULEN Working Paper Series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7770F"/>
    <w:multiLevelType w:val="multilevel"/>
    <w:tmpl w:val="89A27F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03226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BBA"/>
    <w:rsid w:val="000F7187"/>
    <w:rsid w:val="001359F3"/>
    <w:rsid w:val="00182128"/>
    <w:rsid w:val="002757C9"/>
    <w:rsid w:val="002F6D4E"/>
    <w:rsid w:val="0031734F"/>
    <w:rsid w:val="003D15FF"/>
    <w:rsid w:val="003F5099"/>
    <w:rsid w:val="003F5CC9"/>
    <w:rsid w:val="0040208F"/>
    <w:rsid w:val="00437797"/>
    <w:rsid w:val="0044354D"/>
    <w:rsid w:val="004526A9"/>
    <w:rsid w:val="004A0860"/>
    <w:rsid w:val="004A7FF5"/>
    <w:rsid w:val="004B7ED7"/>
    <w:rsid w:val="004F1712"/>
    <w:rsid w:val="00604990"/>
    <w:rsid w:val="006208BD"/>
    <w:rsid w:val="006768B0"/>
    <w:rsid w:val="006A0446"/>
    <w:rsid w:val="006D6546"/>
    <w:rsid w:val="00712A31"/>
    <w:rsid w:val="00877A69"/>
    <w:rsid w:val="008F5382"/>
    <w:rsid w:val="0092125F"/>
    <w:rsid w:val="009A22FA"/>
    <w:rsid w:val="009C3ACD"/>
    <w:rsid w:val="00B14A12"/>
    <w:rsid w:val="00B963A9"/>
    <w:rsid w:val="00CC4699"/>
    <w:rsid w:val="00D24547"/>
    <w:rsid w:val="00D65067"/>
    <w:rsid w:val="00D872DC"/>
    <w:rsid w:val="00DE5383"/>
    <w:rsid w:val="00DE7F93"/>
    <w:rsid w:val="00E13015"/>
    <w:rsid w:val="00E23BBA"/>
    <w:rsid w:val="00E372E5"/>
    <w:rsid w:val="00EC58F1"/>
    <w:rsid w:val="00EF51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4A7E"/>
  <w15:docId w15:val="{5E9DD2CA-3651-584B-9538-2EAE1E76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1734F"/>
    <w:rPr>
      <w:color w:val="0000FF" w:themeColor="hyperlink"/>
      <w:u w:val="single"/>
    </w:rPr>
  </w:style>
  <w:style w:type="character" w:styleId="UnresolvedMention">
    <w:name w:val="Unresolved Mention"/>
    <w:basedOn w:val="DefaultParagraphFont"/>
    <w:uiPriority w:val="99"/>
    <w:semiHidden/>
    <w:unhideWhenUsed/>
    <w:rsid w:val="0031734F"/>
    <w:rPr>
      <w:color w:val="605E5C"/>
      <w:shd w:val="clear" w:color="auto" w:fill="E1DFDD"/>
    </w:rPr>
  </w:style>
  <w:style w:type="character" w:styleId="CommentReference">
    <w:name w:val="annotation reference"/>
    <w:basedOn w:val="DefaultParagraphFont"/>
    <w:uiPriority w:val="99"/>
    <w:semiHidden/>
    <w:unhideWhenUsed/>
    <w:rsid w:val="00877A69"/>
    <w:rPr>
      <w:sz w:val="16"/>
      <w:szCs w:val="16"/>
    </w:rPr>
  </w:style>
  <w:style w:type="paragraph" w:styleId="CommentText">
    <w:name w:val="annotation text"/>
    <w:basedOn w:val="Normal"/>
    <w:link w:val="CommentTextChar"/>
    <w:uiPriority w:val="99"/>
    <w:semiHidden/>
    <w:unhideWhenUsed/>
    <w:rsid w:val="00877A69"/>
    <w:pPr>
      <w:spacing w:line="240" w:lineRule="auto"/>
    </w:pPr>
    <w:rPr>
      <w:sz w:val="20"/>
      <w:szCs w:val="20"/>
    </w:rPr>
  </w:style>
  <w:style w:type="character" w:customStyle="1" w:styleId="CommentTextChar">
    <w:name w:val="Comment Text Char"/>
    <w:basedOn w:val="DefaultParagraphFont"/>
    <w:link w:val="CommentText"/>
    <w:uiPriority w:val="99"/>
    <w:semiHidden/>
    <w:rsid w:val="00877A69"/>
    <w:rPr>
      <w:sz w:val="20"/>
      <w:szCs w:val="20"/>
    </w:rPr>
  </w:style>
  <w:style w:type="paragraph" w:styleId="CommentSubject">
    <w:name w:val="annotation subject"/>
    <w:basedOn w:val="CommentText"/>
    <w:next w:val="CommentText"/>
    <w:link w:val="CommentSubjectChar"/>
    <w:uiPriority w:val="99"/>
    <w:semiHidden/>
    <w:unhideWhenUsed/>
    <w:rsid w:val="00877A69"/>
    <w:rPr>
      <w:b/>
      <w:bCs/>
    </w:rPr>
  </w:style>
  <w:style w:type="character" w:customStyle="1" w:styleId="CommentSubjectChar">
    <w:name w:val="Comment Subject Char"/>
    <w:basedOn w:val="CommentTextChar"/>
    <w:link w:val="CommentSubject"/>
    <w:uiPriority w:val="99"/>
    <w:semiHidden/>
    <w:rsid w:val="00877A69"/>
    <w:rPr>
      <w:b/>
      <w:bCs/>
      <w:sz w:val="20"/>
      <w:szCs w:val="20"/>
    </w:rPr>
  </w:style>
  <w:style w:type="paragraph" w:styleId="Revision">
    <w:name w:val="Revision"/>
    <w:hidden/>
    <w:uiPriority w:val="99"/>
    <w:semiHidden/>
    <w:rsid w:val="00877A69"/>
    <w:pPr>
      <w:spacing w:line="240" w:lineRule="auto"/>
    </w:pPr>
  </w:style>
  <w:style w:type="paragraph" w:styleId="BalloonText">
    <w:name w:val="Balloon Text"/>
    <w:basedOn w:val="Normal"/>
    <w:link w:val="BalloonTextChar"/>
    <w:uiPriority w:val="99"/>
    <w:semiHidden/>
    <w:unhideWhenUsed/>
    <w:rsid w:val="0092125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125F"/>
    <w:rPr>
      <w:rFonts w:ascii="Times New Roman" w:hAnsi="Times New Roman" w:cs="Times New Roman"/>
      <w:sz w:val="18"/>
      <w:szCs w:val="18"/>
    </w:rPr>
  </w:style>
  <w:style w:type="paragraph" w:styleId="Header">
    <w:name w:val="header"/>
    <w:basedOn w:val="Normal"/>
    <w:link w:val="HeaderChar"/>
    <w:uiPriority w:val="99"/>
    <w:unhideWhenUsed/>
    <w:rsid w:val="004A0860"/>
    <w:pPr>
      <w:tabs>
        <w:tab w:val="center" w:pos="4819"/>
        <w:tab w:val="right" w:pos="9638"/>
      </w:tabs>
      <w:spacing w:line="240" w:lineRule="auto"/>
    </w:pPr>
  </w:style>
  <w:style w:type="character" w:customStyle="1" w:styleId="HeaderChar">
    <w:name w:val="Header Char"/>
    <w:basedOn w:val="DefaultParagraphFont"/>
    <w:link w:val="Header"/>
    <w:uiPriority w:val="99"/>
    <w:rsid w:val="004A0860"/>
  </w:style>
  <w:style w:type="paragraph" w:styleId="Footer">
    <w:name w:val="footer"/>
    <w:basedOn w:val="Normal"/>
    <w:link w:val="FooterChar"/>
    <w:uiPriority w:val="99"/>
    <w:unhideWhenUsed/>
    <w:rsid w:val="004A0860"/>
    <w:pPr>
      <w:tabs>
        <w:tab w:val="center" w:pos="4819"/>
        <w:tab w:val="right" w:pos="9638"/>
      </w:tabs>
      <w:spacing w:line="240" w:lineRule="auto"/>
    </w:pPr>
  </w:style>
  <w:style w:type="character" w:customStyle="1" w:styleId="FooterChar">
    <w:name w:val="Footer Char"/>
    <w:basedOn w:val="DefaultParagraphFont"/>
    <w:link w:val="Footer"/>
    <w:uiPriority w:val="99"/>
    <w:rsid w:val="004A0860"/>
  </w:style>
  <w:style w:type="character" w:styleId="PageNumber">
    <w:name w:val="page number"/>
    <w:basedOn w:val="DefaultParagraphFont"/>
    <w:uiPriority w:val="99"/>
    <w:semiHidden/>
    <w:unhideWhenUsed/>
    <w:rsid w:val="00DE7F93"/>
  </w:style>
  <w:style w:type="paragraph" w:customStyle="1" w:styleId="Bibliografia1">
    <w:name w:val="Bibliografia1"/>
    <w:basedOn w:val="Normal"/>
    <w:link w:val="BibliographyCarattere"/>
    <w:rsid w:val="002F6D4E"/>
    <w:pPr>
      <w:spacing w:after="240" w:line="240" w:lineRule="auto"/>
      <w:jc w:val="center"/>
    </w:pPr>
    <w:rPr>
      <w:rFonts w:ascii="Times New Roman" w:eastAsia="Times New Roman" w:hAnsi="Times New Roman" w:cs="Times New Roman"/>
      <w:b/>
      <w:sz w:val="28"/>
      <w:szCs w:val="28"/>
      <w:lang w:val="en-US"/>
    </w:rPr>
  </w:style>
  <w:style w:type="character" w:customStyle="1" w:styleId="BibliographyCarattere">
    <w:name w:val="Bibliography Carattere"/>
    <w:basedOn w:val="DefaultParagraphFont"/>
    <w:link w:val="Bibliografia1"/>
    <w:rsid w:val="002F6D4E"/>
    <w:rPr>
      <w:rFonts w:ascii="Times New Roman" w:eastAsia="Times New Roman" w:hAnsi="Times New Roman" w:cs="Times New Roman"/>
      <w:b/>
      <w:sz w:val="28"/>
      <w:szCs w:val="28"/>
      <w:lang w:val="en-US"/>
    </w:rPr>
  </w:style>
  <w:style w:type="paragraph" w:styleId="FootnoteText">
    <w:name w:val="footnote text"/>
    <w:basedOn w:val="Normal"/>
    <w:link w:val="FootnoteTextChar"/>
    <w:uiPriority w:val="99"/>
    <w:unhideWhenUsed/>
    <w:rsid w:val="00437797"/>
    <w:pPr>
      <w:spacing w:line="240" w:lineRule="auto"/>
    </w:pPr>
    <w:rPr>
      <w:rFonts w:ascii="Times New Roman" w:eastAsia="Times New Roman" w:hAnsi="Times New Roman" w:cs="Times New Roman"/>
      <w:sz w:val="20"/>
      <w:szCs w:val="20"/>
      <w:lang w:val="it-IT"/>
    </w:rPr>
  </w:style>
  <w:style w:type="character" w:customStyle="1" w:styleId="FootnoteTextChar">
    <w:name w:val="Footnote Text Char"/>
    <w:basedOn w:val="DefaultParagraphFont"/>
    <w:link w:val="FootnoteText"/>
    <w:uiPriority w:val="99"/>
    <w:rsid w:val="00437797"/>
    <w:rPr>
      <w:rFonts w:ascii="Times New Roman" w:eastAsia="Times New Roman" w:hAnsi="Times New Roman" w:cs="Times New Roman"/>
      <w:sz w:val="20"/>
      <w:szCs w:val="20"/>
      <w:lang w:val="it-IT"/>
    </w:rPr>
  </w:style>
  <w:style w:type="character" w:styleId="FootnoteReference">
    <w:name w:val="footnote reference"/>
    <w:basedOn w:val="DefaultParagraphFont"/>
    <w:uiPriority w:val="99"/>
    <w:semiHidden/>
    <w:unhideWhenUsed/>
    <w:rsid w:val="004377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6657">
      <w:bodyDiv w:val="1"/>
      <w:marLeft w:val="0"/>
      <w:marRight w:val="0"/>
      <w:marTop w:val="0"/>
      <w:marBottom w:val="0"/>
      <w:divBdr>
        <w:top w:val="none" w:sz="0" w:space="0" w:color="auto"/>
        <w:left w:val="none" w:sz="0" w:space="0" w:color="auto"/>
        <w:bottom w:val="none" w:sz="0" w:space="0" w:color="auto"/>
        <w:right w:val="none" w:sz="0" w:space="0" w:color="auto"/>
      </w:divBdr>
    </w:div>
    <w:div w:id="956570951">
      <w:bodyDiv w:val="1"/>
      <w:marLeft w:val="0"/>
      <w:marRight w:val="0"/>
      <w:marTop w:val="0"/>
      <w:marBottom w:val="0"/>
      <w:divBdr>
        <w:top w:val="none" w:sz="0" w:space="0" w:color="auto"/>
        <w:left w:val="none" w:sz="0" w:space="0" w:color="auto"/>
        <w:bottom w:val="none" w:sz="0" w:space="0" w:color="auto"/>
        <w:right w:val="none" w:sz="0" w:space="0" w:color="auto"/>
      </w:divBdr>
    </w:div>
    <w:div w:id="1735008845">
      <w:bodyDiv w:val="1"/>
      <w:marLeft w:val="0"/>
      <w:marRight w:val="0"/>
      <w:marTop w:val="0"/>
      <w:marBottom w:val="0"/>
      <w:divBdr>
        <w:top w:val="none" w:sz="0" w:space="0" w:color="auto"/>
        <w:left w:val="none" w:sz="0" w:space="0" w:color="auto"/>
        <w:bottom w:val="none" w:sz="0" w:space="0" w:color="auto"/>
        <w:right w:val="none" w:sz="0" w:space="0" w:color="auto"/>
      </w:divBdr>
    </w:div>
    <w:div w:id="2003968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AUTO/?uri=ecli:ECLI%3AEU%3AC%3A2017%3A800&amp;locale=en" TargetMode="External"/><Relationship Id="rId13" Type="http://schemas.openxmlformats.org/officeDocument/2006/relationships/hyperlink" Target="https://rm.coe.int/report-of-the-council-of-europe-commissioner-for-human-rights-dunja-mi/1680a5498d" TargetMode="External"/><Relationship Id="rId3" Type="http://schemas.openxmlformats.org/officeDocument/2006/relationships/hyperlink" Target="https://euaa.europa.eu/operations/member-states-operations" TargetMode="External"/><Relationship Id="rId7" Type="http://schemas.openxmlformats.org/officeDocument/2006/relationships/hyperlink" Target="https://eur-lex.europa.eu/legal-content/redirect/?urn=ecli:ECLI%3AEU%3AC%3A2014%3A70&amp;lang=EN&amp;format=html&amp;target=CourtTab&amp;anchor=" TargetMode="External"/><Relationship Id="rId12" Type="http://schemas.openxmlformats.org/officeDocument/2006/relationships/hyperlink" Target="https://asylumineurope.org/wp-content/uploads/2022/05/AIDA-MT_2021update.pdf" TargetMode="External"/><Relationship Id="rId2" Type="http://schemas.openxmlformats.org/officeDocument/2006/relationships/hyperlink" Target="https://eumigrationlawblog.eu/chaos-in-chios-legal-questions-regarding-the-administrative-procedure-in-the-greek-hotspots/" TargetMode="External"/><Relationship Id="rId1" Type="http://schemas.openxmlformats.org/officeDocument/2006/relationships/hyperlink" Target="https://eur-lex.europa.eu/legal-content/EN/TXT/?uri=CELEX:52005XG0303(01)" TargetMode="External"/><Relationship Id="rId6" Type="http://schemas.openxmlformats.org/officeDocument/2006/relationships/hyperlink" Target="https://eur-lex.europa.eu/legal-content/redirect/?urn=ecli:ECLI%3AEU%3AC%3A2014%3A70&amp;lang=EN&amp;format=pdf&amp;target=CourtTab" TargetMode="External"/><Relationship Id="rId11" Type="http://schemas.openxmlformats.org/officeDocument/2006/relationships/hyperlink" Target="https://cde.news/malta-asylum-seeker-shot-by-security-official-in-safi-barracks-riot/" TargetMode="External"/><Relationship Id="rId5" Type="http://schemas.openxmlformats.org/officeDocument/2006/relationships/hyperlink" Target="https://eur-lex.europa.eu/legal-content/EN/AUTO/?uri=ecli:ECLI%3AEU%3AC%3A2014%3A70&amp;locale=en" TargetMode="External"/><Relationship Id="rId15" Type="http://schemas.openxmlformats.org/officeDocument/2006/relationships/hyperlink" Target="https://jmn-eulen.nl/wp-content/uploads/sites/575/2022/05/WP-Series-No.-16-22-THE-RISE-OF-EU-MIGRATION-AGENCIES-Striking-a-Balance-Between-Enforcement-Needs-and-Access-to-Justice-Nicolosi-Omicevic.pdf" TargetMode="External"/><Relationship Id="rId10" Type="http://schemas.openxmlformats.org/officeDocument/2006/relationships/hyperlink" Target="https://timesofmalta.com/articles/view/migrants-rounded-up-as-protest-flares-at-safi-detention-camp.745470" TargetMode="External"/><Relationship Id="rId4" Type="http://schemas.openxmlformats.org/officeDocument/2006/relationships/hyperlink" Target="https://euaa.europa.eu/about-us/what-we-do" TargetMode="External"/><Relationship Id="rId9" Type="http://schemas.openxmlformats.org/officeDocument/2006/relationships/hyperlink" Target="https://eur-lex.europa.eu/legal-content/redirect/?urn=ecli:ECLI%3AEU%3AC%3A2017%3A800&amp;lang=EN&amp;format=pdf&amp;target=CourtTab" TargetMode="External"/><Relationship Id="rId14" Type="http://schemas.openxmlformats.org/officeDocument/2006/relationships/hyperlink" Target="https://timesofmalta.com/articles/view/reports-of-torturing-detained-migrants-manuel-delia.848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4160</Words>
  <Characters>23713</Characters>
  <Application>Microsoft Office Word</Application>
  <DocSecurity>4</DocSecurity>
  <Lines>197</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Kapetanovic</dc:creator>
  <cp:lastModifiedBy>Leo Kapetanovic</cp:lastModifiedBy>
  <cp:revision>2</cp:revision>
  <dcterms:created xsi:type="dcterms:W3CDTF">2023-01-24T14:07:00Z</dcterms:created>
  <dcterms:modified xsi:type="dcterms:W3CDTF">2023-01-24T14:07:00Z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id="4kMPldjC"/&gt;&lt;style id="http://www.zotero.org/styles/oscola" hasBibliography="1" bibliographyStyleHasBeenSet="1"/&gt;&lt;prefs&gt;&lt;pref name="fieldType" value="Field"/&gt;&lt;pref name="noteType" value="1"/&gt;&lt;/pre</vt:lpwstr>
  </property>
  <property fmtid="{D5CDD505-2E9C-101B-9397-08002B2CF9AE}" pid="3" name="ZOTERO_PREF_2">
    <vt:lpwstr>fs&gt;&lt;/data&gt;</vt:lpwstr>
  </property>
</Properties>
</file>