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79BA1" w14:textId="77777777" w:rsidR="00232B9D" w:rsidRDefault="00232B9D" w:rsidP="00232B9D">
      <w:pPr>
        <w:jc w:val="right"/>
      </w:pPr>
      <w:r>
        <w:rPr>
          <w:noProof/>
        </w:rPr>
        <w:drawing>
          <wp:anchor distT="0" distB="0" distL="114300" distR="114300" simplePos="0" relativeHeight="251659264" behindDoc="0" locked="0" layoutInCell="1" allowOverlap="1" wp14:anchorId="12BE6DD1" wp14:editId="2E87B4CE">
            <wp:simplePos x="0" y="0"/>
            <wp:positionH relativeFrom="margin">
              <wp:align>left</wp:align>
            </wp:positionH>
            <wp:positionV relativeFrom="paragraph">
              <wp:posOffset>83127</wp:posOffset>
            </wp:positionV>
            <wp:extent cx="1327150" cy="1307465"/>
            <wp:effectExtent l="0" t="0" r="0" b="0"/>
            <wp:wrapThrough wrapText="bothSides">
              <wp:wrapPolygon edited="0">
                <wp:start x="10232" y="315"/>
                <wp:lineTo x="1860" y="3462"/>
                <wp:lineTo x="1550" y="4406"/>
                <wp:lineTo x="5271" y="5980"/>
                <wp:lineTo x="5271" y="16051"/>
                <wp:lineTo x="1860" y="18883"/>
                <wp:lineTo x="1860" y="19512"/>
                <wp:lineTo x="3411" y="21086"/>
                <wp:lineTo x="18293" y="21086"/>
                <wp:lineTo x="19533" y="19512"/>
                <wp:lineTo x="18913" y="18254"/>
                <wp:lineTo x="16433" y="16051"/>
                <wp:lineTo x="17673" y="11015"/>
                <wp:lineTo x="19223" y="7553"/>
                <wp:lineTo x="18913" y="5980"/>
                <wp:lineTo x="20153" y="4091"/>
                <wp:lineTo x="18603" y="3147"/>
                <wp:lineTo x="11472" y="315"/>
                <wp:lineTo x="10232" y="315"/>
              </wp:wrapPolygon>
            </wp:wrapThrough>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150" cy="1307465"/>
                    </a:xfrm>
                    <a:prstGeom prst="rect">
                      <a:avLst/>
                    </a:prstGeom>
                  </pic:spPr>
                </pic:pic>
              </a:graphicData>
            </a:graphic>
          </wp:anchor>
        </w:drawing>
      </w:r>
    </w:p>
    <w:p w14:paraId="744A535D" w14:textId="77777777" w:rsidR="00232B9D" w:rsidRDefault="00232B9D" w:rsidP="00232B9D">
      <w:pPr>
        <w:jc w:val="right"/>
        <w:rPr>
          <w:sz w:val="24"/>
          <w:szCs w:val="24"/>
          <w:u w:val="single"/>
        </w:rPr>
      </w:pPr>
      <w:r>
        <w:rPr>
          <w:noProof/>
        </w:rPr>
        <w:drawing>
          <wp:inline distT="0" distB="0" distL="0" distR="0" wp14:anchorId="2730206C" wp14:editId="7C58A40D">
            <wp:extent cx="3838969" cy="906780"/>
            <wp:effectExtent l="0" t="0" r="9525" b="762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01336" cy="945132"/>
                    </a:xfrm>
                    <a:prstGeom prst="rect">
                      <a:avLst/>
                    </a:prstGeom>
                  </pic:spPr>
                </pic:pic>
              </a:graphicData>
            </a:graphic>
          </wp:inline>
        </w:drawing>
      </w:r>
    </w:p>
    <w:p w14:paraId="626D1BEE" w14:textId="77777777" w:rsidR="00232B9D" w:rsidRDefault="00232B9D" w:rsidP="00232B9D">
      <w:pPr>
        <w:jc w:val="center"/>
        <w:rPr>
          <w:sz w:val="24"/>
          <w:szCs w:val="24"/>
          <w:u w:val="single"/>
        </w:rPr>
      </w:pPr>
    </w:p>
    <w:p w14:paraId="568169DF" w14:textId="77777777" w:rsidR="00232B9D" w:rsidRDefault="00232B9D" w:rsidP="00232B9D">
      <w:pPr>
        <w:jc w:val="center"/>
        <w:rPr>
          <w:sz w:val="24"/>
          <w:szCs w:val="24"/>
          <w:u w:val="single"/>
          <w:lang w:val="fr-FR"/>
        </w:rPr>
      </w:pPr>
    </w:p>
    <w:p w14:paraId="0ED57120" w14:textId="77777777" w:rsidR="00232B9D" w:rsidRPr="00391637" w:rsidRDefault="00232B9D" w:rsidP="00232B9D">
      <w:pPr>
        <w:jc w:val="center"/>
        <w:rPr>
          <w:sz w:val="24"/>
          <w:szCs w:val="24"/>
          <w:u w:val="single"/>
          <w:lang w:val="fr-FR"/>
        </w:rPr>
      </w:pPr>
      <w:r w:rsidRPr="00391637">
        <w:rPr>
          <w:sz w:val="24"/>
          <w:szCs w:val="24"/>
          <w:u w:val="single"/>
          <w:lang w:val="fr-FR"/>
        </w:rPr>
        <w:t>Jean Monnet Network on EU Law Enforcement</w:t>
      </w:r>
    </w:p>
    <w:p w14:paraId="2D618F2D" w14:textId="77777777" w:rsidR="00232B9D" w:rsidRDefault="00232B9D" w:rsidP="00232B9D">
      <w:pPr>
        <w:jc w:val="center"/>
        <w:rPr>
          <w:sz w:val="24"/>
          <w:szCs w:val="24"/>
          <w:u w:val="single"/>
          <w:lang w:val="en-US"/>
        </w:rPr>
      </w:pPr>
      <w:r w:rsidRPr="00232B9D">
        <w:rPr>
          <w:sz w:val="24"/>
          <w:szCs w:val="24"/>
          <w:u w:val="single"/>
          <w:lang w:val="en-US"/>
        </w:rPr>
        <w:t>Working Paper Series</w:t>
      </w:r>
    </w:p>
    <w:p w14:paraId="3DC76462" w14:textId="77777777" w:rsidR="00232B9D" w:rsidRDefault="00232B9D" w:rsidP="00232B9D">
      <w:pPr>
        <w:jc w:val="center"/>
        <w:rPr>
          <w:sz w:val="24"/>
          <w:szCs w:val="24"/>
          <w:u w:val="single"/>
          <w:lang w:val="en-US"/>
        </w:rPr>
      </w:pPr>
    </w:p>
    <w:p w14:paraId="2562CB4F" w14:textId="77777777" w:rsidR="00232B9D" w:rsidRDefault="00232B9D" w:rsidP="00232B9D">
      <w:pPr>
        <w:jc w:val="center"/>
        <w:rPr>
          <w:sz w:val="24"/>
          <w:szCs w:val="24"/>
          <w:u w:val="single"/>
          <w:lang w:val="en-US"/>
        </w:rPr>
      </w:pPr>
    </w:p>
    <w:p w14:paraId="5A1E6905" w14:textId="77777777" w:rsidR="00232B9D" w:rsidRPr="00232B9D" w:rsidRDefault="00232B9D" w:rsidP="00232B9D">
      <w:pPr>
        <w:jc w:val="center"/>
        <w:rPr>
          <w:sz w:val="24"/>
          <w:szCs w:val="24"/>
          <w:u w:val="single"/>
          <w:lang w:val="en-US"/>
        </w:rPr>
      </w:pPr>
    </w:p>
    <w:p w14:paraId="7DE425F1" w14:textId="77777777" w:rsidR="008A78F6" w:rsidRDefault="008A78F6" w:rsidP="00AF6267">
      <w:pPr>
        <w:jc w:val="center"/>
        <w:rPr>
          <w:sz w:val="28"/>
          <w:szCs w:val="28"/>
          <w:lang w:val="en-US"/>
        </w:rPr>
      </w:pPr>
    </w:p>
    <w:p w14:paraId="48567151" w14:textId="0FCE3588" w:rsidR="00AF6267" w:rsidRPr="00AF6267" w:rsidRDefault="00AF6267" w:rsidP="00AF6267">
      <w:pPr>
        <w:jc w:val="center"/>
        <w:rPr>
          <w:i/>
          <w:iCs/>
          <w:sz w:val="28"/>
          <w:szCs w:val="28"/>
          <w:lang w:val="en-US"/>
        </w:rPr>
      </w:pPr>
      <w:r>
        <w:rPr>
          <w:sz w:val="28"/>
          <w:szCs w:val="28"/>
          <w:lang w:val="en-US"/>
        </w:rPr>
        <w:t>European Collective Redress and Data Protection</w:t>
      </w:r>
    </w:p>
    <w:p w14:paraId="3746028C" w14:textId="0E6D6536" w:rsidR="00AF6267" w:rsidRPr="008F7C0E" w:rsidRDefault="00AF6267" w:rsidP="00AF6267">
      <w:pPr>
        <w:jc w:val="center"/>
        <w:rPr>
          <w:sz w:val="22"/>
          <w:szCs w:val="22"/>
          <w:lang w:val="en-US"/>
        </w:rPr>
      </w:pPr>
      <w:r w:rsidRPr="008F7C0E">
        <w:rPr>
          <w:sz w:val="22"/>
          <w:szCs w:val="22"/>
          <w:lang w:val="en-US"/>
        </w:rPr>
        <w:t>Challenges and Opportunities</w:t>
      </w:r>
    </w:p>
    <w:p w14:paraId="121C5B77" w14:textId="77777777" w:rsidR="00AF6267" w:rsidRPr="00867F97" w:rsidRDefault="00AF6267" w:rsidP="00AF6267">
      <w:pPr>
        <w:jc w:val="center"/>
        <w:rPr>
          <w:lang w:val="en-US"/>
        </w:rPr>
      </w:pPr>
    </w:p>
    <w:p w14:paraId="64EDAD6F" w14:textId="77777777" w:rsidR="00AF6267" w:rsidRPr="00867F97" w:rsidRDefault="00AF6267" w:rsidP="00AF6267">
      <w:pPr>
        <w:jc w:val="center"/>
        <w:rPr>
          <w:lang w:val="en-US"/>
        </w:rPr>
      </w:pPr>
    </w:p>
    <w:p w14:paraId="0D2366ED" w14:textId="2B717D85" w:rsidR="00AF6267" w:rsidRPr="008F7C0E" w:rsidRDefault="00AF6267" w:rsidP="00AF6267">
      <w:pPr>
        <w:jc w:val="center"/>
        <w:rPr>
          <w:sz w:val="22"/>
          <w:szCs w:val="22"/>
          <w:lang w:val="en-US"/>
        </w:rPr>
      </w:pPr>
      <w:r w:rsidRPr="008F7C0E">
        <w:rPr>
          <w:sz w:val="22"/>
          <w:szCs w:val="22"/>
          <w:lang w:val="en-US"/>
        </w:rPr>
        <w:t>Marina Federico*</w:t>
      </w:r>
    </w:p>
    <w:p w14:paraId="22303F48" w14:textId="77777777" w:rsidR="00AF6267" w:rsidRPr="008F7C0E" w:rsidRDefault="00AF6267" w:rsidP="00AF6267">
      <w:pPr>
        <w:jc w:val="center"/>
        <w:rPr>
          <w:sz w:val="22"/>
          <w:szCs w:val="22"/>
          <w:lang w:val="en-US"/>
        </w:rPr>
      </w:pPr>
    </w:p>
    <w:p w14:paraId="2FF874F0" w14:textId="77777777" w:rsidR="00AF6267" w:rsidRPr="008F7C0E" w:rsidRDefault="00AF6267" w:rsidP="00AF6267">
      <w:pPr>
        <w:jc w:val="center"/>
        <w:rPr>
          <w:sz w:val="22"/>
          <w:szCs w:val="22"/>
          <w:lang w:val="en-US"/>
        </w:rPr>
      </w:pPr>
    </w:p>
    <w:p w14:paraId="69AAF579" w14:textId="77777777" w:rsidR="00AF6267" w:rsidRPr="008F7C0E" w:rsidRDefault="00AF6267" w:rsidP="00AF6267">
      <w:pPr>
        <w:jc w:val="center"/>
        <w:rPr>
          <w:sz w:val="22"/>
          <w:szCs w:val="22"/>
          <w:lang w:val="en-US"/>
        </w:rPr>
      </w:pPr>
    </w:p>
    <w:p w14:paraId="7D725C6C" w14:textId="17BC23EA" w:rsidR="00F73612" w:rsidRPr="008F7C0E" w:rsidRDefault="00AF6267" w:rsidP="004E3F03">
      <w:pPr>
        <w:jc w:val="center"/>
        <w:rPr>
          <w:sz w:val="22"/>
          <w:szCs w:val="22"/>
          <w:lang w:val="en-US"/>
        </w:rPr>
      </w:pPr>
      <w:r w:rsidRPr="008F7C0E">
        <w:rPr>
          <w:sz w:val="22"/>
          <w:szCs w:val="22"/>
          <w:lang w:val="en-US"/>
        </w:rPr>
        <w:t>Abstract</w:t>
      </w:r>
    </w:p>
    <w:p w14:paraId="382F4F33" w14:textId="50EC6CB6" w:rsidR="00AF6267" w:rsidRPr="008F7C0E" w:rsidRDefault="00A87BA8" w:rsidP="00A87BA8">
      <w:pPr>
        <w:jc w:val="both"/>
        <w:rPr>
          <w:sz w:val="22"/>
          <w:szCs w:val="22"/>
          <w:lang w:val="en-US"/>
        </w:rPr>
      </w:pPr>
      <w:r w:rsidRPr="00A87BA8">
        <w:rPr>
          <w:sz w:val="22"/>
          <w:szCs w:val="22"/>
          <w:lang w:val="en-US"/>
        </w:rPr>
        <w:t>The paper analyses the potential of group actions as an instrument for data protection law enforcement in Europe. The first part investigates whether article 80 GDPR may provide a legal base for aggregate litigation in data protection law. It follows by exami</w:t>
      </w:r>
      <w:r w:rsidR="00C44431">
        <w:rPr>
          <w:sz w:val="22"/>
          <w:szCs w:val="22"/>
          <w:lang w:val="en-US"/>
        </w:rPr>
        <w:t>ning the relationship between the European</w:t>
      </w:r>
      <w:r w:rsidRPr="00A87BA8">
        <w:rPr>
          <w:sz w:val="22"/>
          <w:szCs w:val="22"/>
          <w:lang w:val="en-US"/>
        </w:rPr>
        <w:t xml:space="preserve"> Directive 2020</w:t>
      </w:r>
      <w:r w:rsidR="00B27B5B">
        <w:rPr>
          <w:sz w:val="22"/>
          <w:szCs w:val="22"/>
          <w:lang w:val="en-US"/>
        </w:rPr>
        <w:t>/1828 and the GDPR, and evaluates</w:t>
      </w:r>
      <w:r w:rsidRPr="00A87BA8">
        <w:rPr>
          <w:sz w:val="22"/>
          <w:szCs w:val="22"/>
          <w:lang w:val="en-US"/>
        </w:rPr>
        <w:t xml:space="preserve"> the potential of the new European representative action to enforce data protection rights and deter Big Tech’</w:t>
      </w:r>
      <w:r>
        <w:rPr>
          <w:sz w:val="22"/>
          <w:szCs w:val="22"/>
          <w:lang w:val="en-US"/>
        </w:rPr>
        <w:t xml:space="preserve">s </w:t>
      </w:r>
      <w:r w:rsidRPr="00A87BA8">
        <w:rPr>
          <w:sz w:val="22"/>
          <w:szCs w:val="22"/>
          <w:lang w:val="en-US"/>
        </w:rPr>
        <w:t xml:space="preserve">cross-border unfair practices. </w:t>
      </w:r>
      <w:r w:rsidR="00C17240">
        <w:rPr>
          <w:sz w:val="22"/>
          <w:szCs w:val="22"/>
          <w:lang w:val="en-US"/>
        </w:rPr>
        <w:t>Lastly</w:t>
      </w:r>
      <w:r w:rsidRPr="00A87BA8">
        <w:rPr>
          <w:sz w:val="22"/>
          <w:szCs w:val="22"/>
          <w:lang w:val="en-US"/>
        </w:rPr>
        <w:t>, it outlines a private enforcement framework to ensure data protection and consumer rights in Europe, one that is able to balance the freedom of data, market needs and the protection of individuals.</w:t>
      </w:r>
    </w:p>
    <w:p w14:paraId="09FE17D2" w14:textId="77777777" w:rsidR="00AF6267" w:rsidRPr="008F7C0E" w:rsidRDefault="00AF6267" w:rsidP="00AF6267">
      <w:pPr>
        <w:jc w:val="center"/>
        <w:rPr>
          <w:sz w:val="22"/>
          <w:szCs w:val="22"/>
          <w:lang w:val="en-US"/>
        </w:rPr>
      </w:pPr>
    </w:p>
    <w:p w14:paraId="73E480EB" w14:textId="77777777" w:rsidR="00AF6267" w:rsidRPr="008F7C0E" w:rsidRDefault="00AF6267" w:rsidP="00AF6267">
      <w:pPr>
        <w:rPr>
          <w:sz w:val="22"/>
          <w:szCs w:val="22"/>
          <w:lang w:val="en-US"/>
        </w:rPr>
      </w:pPr>
    </w:p>
    <w:p w14:paraId="2032A8F7" w14:textId="77777777" w:rsidR="00AF6267" w:rsidRPr="008F7C0E" w:rsidRDefault="00AF6267" w:rsidP="00AF6267">
      <w:pPr>
        <w:jc w:val="center"/>
        <w:rPr>
          <w:sz w:val="22"/>
          <w:szCs w:val="22"/>
          <w:lang w:val="en-US"/>
        </w:rPr>
      </w:pPr>
    </w:p>
    <w:p w14:paraId="5288CD4B" w14:textId="77777777" w:rsidR="00AF6267" w:rsidRPr="008F7C0E" w:rsidRDefault="00AF6267" w:rsidP="00AF6267">
      <w:pPr>
        <w:jc w:val="center"/>
        <w:rPr>
          <w:sz w:val="22"/>
          <w:szCs w:val="22"/>
          <w:lang w:val="en-US"/>
        </w:rPr>
      </w:pPr>
    </w:p>
    <w:p w14:paraId="65388D9C" w14:textId="77777777" w:rsidR="00AF6267" w:rsidRPr="008F7C0E" w:rsidRDefault="00AF6267" w:rsidP="00AF6267">
      <w:pPr>
        <w:jc w:val="center"/>
        <w:rPr>
          <w:sz w:val="22"/>
          <w:szCs w:val="22"/>
          <w:lang w:val="en-US"/>
        </w:rPr>
      </w:pPr>
      <w:r w:rsidRPr="008F7C0E">
        <w:rPr>
          <w:sz w:val="22"/>
          <w:szCs w:val="22"/>
          <w:lang w:val="en-US"/>
        </w:rPr>
        <w:t>Keywords:</w:t>
      </w:r>
    </w:p>
    <w:p w14:paraId="459D91EF" w14:textId="77777777" w:rsidR="00AF6267" w:rsidRPr="008F7C0E" w:rsidRDefault="00AF6267" w:rsidP="00AF6267">
      <w:pPr>
        <w:jc w:val="center"/>
        <w:rPr>
          <w:sz w:val="22"/>
          <w:szCs w:val="22"/>
          <w:lang w:val="en-US"/>
        </w:rPr>
      </w:pPr>
    </w:p>
    <w:p w14:paraId="1CDAD4A4" w14:textId="4751C79B" w:rsidR="00AF6267" w:rsidRPr="008F7C0E" w:rsidRDefault="00AF6267" w:rsidP="00AF6267">
      <w:pPr>
        <w:jc w:val="center"/>
        <w:rPr>
          <w:sz w:val="22"/>
          <w:szCs w:val="22"/>
          <w:lang w:val="en-US"/>
        </w:rPr>
      </w:pPr>
      <w:r w:rsidRPr="008F7C0E">
        <w:rPr>
          <w:sz w:val="22"/>
          <w:szCs w:val="22"/>
          <w:lang w:val="en-US"/>
        </w:rPr>
        <w:t>Data protection law, consumer law, private enforcement, group litigation</w:t>
      </w:r>
    </w:p>
    <w:p w14:paraId="7EEFF3BF" w14:textId="77777777" w:rsidR="007F3D67" w:rsidRPr="00CA53A1" w:rsidRDefault="007F3D67" w:rsidP="00CA53A1">
      <w:pPr>
        <w:jc w:val="center"/>
        <w:rPr>
          <w:b/>
          <w:sz w:val="22"/>
          <w:szCs w:val="22"/>
          <w:lang w:val="en-GB"/>
        </w:rPr>
      </w:pPr>
    </w:p>
    <w:p w14:paraId="1C2F2D41" w14:textId="256BDEE4" w:rsidR="00BA3558" w:rsidRPr="00CB6843" w:rsidRDefault="00BA3558" w:rsidP="00CB6843">
      <w:pPr>
        <w:outlineLvl w:val="0"/>
        <w:rPr>
          <w:b/>
          <w:sz w:val="22"/>
          <w:szCs w:val="22"/>
          <w:lang w:val="en-GB"/>
        </w:rPr>
      </w:pPr>
    </w:p>
    <w:p w14:paraId="02D872C4" w14:textId="77777777" w:rsidR="00BA3558" w:rsidRPr="00CA53A1" w:rsidRDefault="00BA3558" w:rsidP="00CA53A1">
      <w:pPr>
        <w:jc w:val="both"/>
        <w:rPr>
          <w:sz w:val="22"/>
          <w:szCs w:val="22"/>
          <w:lang w:val="en-US"/>
        </w:rPr>
      </w:pPr>
    </w:p>
    <w:p w14:paraId="6C47F4C0" w14:textId="77777777" w:rsidR="00F330E4" w:rsidRPr="00CA53A1" w:rsidRDefault="00F330E4" w:rsidP="00CA53A1">
      <w:pPr>
        <w:jc w:val="center"/>
        <w:rPr>
          <w:color w:val="FF0000"/>
          <w:sz w:val="22"/>
          <w:szCs w:val="22"/>
          <w:lang w:val="en-US"/>
        </w:rPr>
      </w:pPr>
    </w:p>
    <w:p w14:paraId="4D3E0F8A" w14:textId="3F092661" w:rsidR="00B87393" w:rsidRPr="00CA53A1" w:rsidRDefault="003336F9" w:rsidP="00CA53A1">
      <w:pPr>
        <w:rPr>
          <w:b/>
          <w:sz w:val="22"/>
          <w:szCs w:val="22"/>
          <w:lang w:val="en-US"/>
        </w:rPr>
      </w:pPr>
      <w:r w:rsidRPr="00CA53A1">
        <w:rPr>
          <w:b/>
          <w:sz w:val="22"/>
          <w:szCs w:val="22"/>
          <w:lang w:val="en-GB"/>
        </w:rPr>
        <w:br w:type="page"/>
      </w:r>
    </w:p>
    <w:p w14:paraId="3EAE9A90" w14:textId="0A3AB6E7" w:rsidR="00526FFC" w:rsidRPr="00CA53A1" w:rsidRDefault="00867F97" w:rsidP="00CA53A1">
      <w:pPr>
        <w:jc w:val="both"/>
        <w:rPr>
          <w:b/>
          <w:sz w:val="22"/>
          <w:szCs w:val="22"/>
          <w:lang w:val="en-GB"/>
        </w:rPr>
      </w:pPr>
      <w:r>
        <w:rPr>
          <w:b/>
          <w:sz w:val="22"/>
          <w:szCs w:val="22"/>
          <w:lang w:val="en-GB"/>
        </w:rPr>
        <w:lastRenderedPageBreak/>
        <w:t>I.</w:t>
      </w:r>
      <w:r w:rsidR="002F3920" w:rsidRPr="00CA53A1">
        <w:rPr>
          <w:b/>
          <w:sz w:val="22"/>
          <w:szCs w:val="22"/>
          <w:lang w:val="en-GB"/>
        </w:rPr>
        <w:t xml:space="preserve"> Introduction</w:t>
      </w:r>
    </w:p>
    <w:p w14:paraId="52EED140" w14:textId="77777777" w:rsidR="00EB7106" w:rsidRPr="00CA53A1" w:rsidRDefault="00EB7106" w:rsidP="00294D03">
      <w:pPr>
        <w:jc w:val="both"/>
        <w:rPr>
          <w:sz w:val="22"/>
          <w:szCs w:val="22"/>
          <w:lang w:val="en-GB"/>
        </w:rPr>
      </w:pPr>
    </w:p>
    <w:p w14:paraId="32425147" w14:textId="6A3E3413" w:rsidR="00E72E6E" w:rsidRPr="00CA53A1" w:rsidRDefault="00B04124" w:rsidP="00621335">
      <w:pPr>
        <w:spacing w:after="120"/>
        <w:jc w:val="both"/>
        <w:rPr>
          <w:sz w:val="22"/>
          <w:szCs w:val="22"/>
          <w:lang w:val="en-US"/>
        </w:rPr>
      </w:pPr>
      <w:r w:rsidRPr="00CA53A1">
        <w:rPr>
          <w:sz w:val="22"/>
          <w:szCs w:val="22"/>
          <w:lang w:val="en-GB"/>
        </w:rPr>
        <w:t xml:space="preserve">In </w:t>
      </w:r>
      <w:r w:rsidR="000572C4" w:rsidRPr="00CA53A1">
        <w:rPr>
          <w:sz w:val="22"/>
          <w:szCs w:val="22"/>
          <w:lang w:val="en-GB"/>
        </w:rPr>
        <w:t>Informational Capitalism</w:t>
      </w:r>
      <w:r w:rsidR="007B6906" w:rsidRPr="00CA53A1">
        <w:rPr>
          <w:sz w:val="22"/>
          <w:szCs w:val="22"/>
          <w:lang w:val="en-GB"/>
        </w:rPr>
        <w:t>,</w:t>
      </w:r>
      <w:r w:rsidR="0056073B" w:rsidRPr="00CA53A1">
        <w:rPr>
          <w:rStyle w:val="Rimandonotaapidipagina"/>
          <w:sz w:val="22"/>
          <w:szCs w:val="22"/>
          <w:lang w:val="en-GB"/>
        </w:rPr>
        <w:footnoteReference w:id="1"/>
      </w:r>
      <w:r w:rsidR="007B6906" w:rsidRPr="00CA53A1">
        <w:rPr>
          <w:sz w:val="22"/>
          <w:szCs w:val="22"/>
          <w:lang w:val="en-GB"/>
        </w:rPr>
        <w:t xml:space="preserve"> data are considered </w:t>
      </w:r>
      <w:r w:rsidR="00C41149">
        <w:rPr>
          <w:sz w:val="22"/>
          <w:szCs w:val="22"/>
          <w:lang w:val="en-GB"/>
        </w:rPr>
        <w:t>‘</w:t>
      </w:r>
      <w:r w:rsidR="007B6906" w:rsidRPr="00C41149">
        <w:rPr>
          <w:sz w:val="22"/>
          <w:szCs w:val="22"/>
          <w:lang w:val="en-GB"/>
        </w:rPr>
        <w:t>the new oil</w:t>
      </w:r>
      <w:r w:rsidR="00C41149">
        <w:rPr>
          <w:sz w:val="22"/>
          <w:szCs w:val="22"/>
          <w:lang w:val="en-GB"/>
        </w:rPr>
        <w:t>’</w:t>
      </w:r>
      <w:r w:rsidR="00330481" w:rsidRPr="00CA53A1">
        <w:rPr>
          <w:sz w:val="22"/>
          <w:szCs w:val="22"/>
          <w:lang w:val="en-GB"/>
        </w:rPr>
        <w:t xml:space="preserve"> </w:t>
      </w:r>
      <w:r w:rsidR="002A6649" w:rsidRPr="00CA53A1">
        <w:rPr>
          <w:sz w:val="22"/>
          <w:szCs w:val="22"/>
          <w:lang w:val="en-GB"/>
        </w:rPr>
        <w:t>of our age</w:t>
      </w:r>
      <w:r w:rsidR="00796D46" w:rsidRPr="00CA53A1">
        <w:rPr>
          <w:rStyle w:val="Rimandonotaapidipagina"/>
          <w:sz w:val="22"/>
          <w:szCs w:val="22"/>
          <w:lang w:val="en-GB"/>
        </w:rPr>
        <w:footnoteReference w:id="2"/>
      </w:r>
      <w:r w:rsidR="002A6649" w:rsidRPr="00CA53A1">
        <w:rPr>
          <w:sz w:val="22"/>
          <w:szCs w:val="22"/>
          <w:lang w:val="en-GB"/>
        </w:rPr>
        <w:t xml:space="preserve"> </w:t>
      </w:r>
      <w:r w:rsidR="00330481" w:rsidRPr="00CA53A1">
        <w:rPr>
          <w:sz w:val="22"/>
          <w:szCs w:val="22"/>
          <w:lang w:val="en-GB"/>
        </w:rPr>
        <w:t xml:space="preserve">and </w:t>
      </w:r>
      <w:r w:rsidR="00652F74" w:rsidRPr="00CA53A1">
        <w:rPr>
          <w:sz w:val="22"/>
          <w:szCs w:val="22"/>
          <w:lang w:val="en-US"/>
        </w:rPr>
        <w:t xml:space="preserve">are viewed as </w:t>
      </w:r>
      <w:r w:rsidR="00F60761" w:rsidRPr="00CA53A1">
        <w:rPr>
          <w:sz w:val="22"/>
          <w:szCs w:val="22"/>
          <w:lang w:val="en-US"/>
        </w:rPr>
        <w:t>commodit</w:t>
      </w:r>
      <w:r w:rsidR="00F66807" w:rsidRPr="00CA53A1">
        <w:rPr>
          <w:sz w:val="22"/>
          <w:szCs w:val="22"/>
          <w:lang w:val="en-US"/>
        </w:rPr>
        <w:t>ies</w:t>
      </w:r>
      <w:r w:rsidR="00652F74" w:rsidRPr="00CA53A1">
        <w:rPr>
          <w:sz w:val="22"/>
          <w:szCs w:val="22"/>
          <w:lang w:val="en-US"/>
        </w:rPr>
        <w:t>.</w:t>
      </w:r>
      <w:r w:rsidR="0056073B" w:rsidRPr="00CA53A1">
        <w:rPr>
          <w:rStyle w:val="Rimandonotaapidipagina"/>
          <w:sz w:val="22"/>
          <w:szCs w:val="22"/>
          <w:lang w:val="en-US"/>
        </w:rPr>
        <w:footnoteReference w:id="3"/>
      </w:r>
      <w:r w:rsidR="00652F74" w:rsidRPr="00CA53A1">
        <w:rPr>
          <w:sz w:val="22"/>
          <w:szCs w:val="22"/>
          <w:lang w:val="en-US"/>
        </w:rPr>
        <w:t xml:space="preserve"> </w:t>
      </w:r>
      <w:r w:rsidRPr="00CA53A1">
        <w:rPr>
          <w:sz w:val="22"/>
          <w:szCs w:val="22"/>
          <w:lang w:val="en-GB"/>
        </w:rPr>
        <w:t xml:space="preserve">They circulate fast on </w:t>
      </w:r>
      <w:r w:rsidR="00CE7BC4" w:rsidRPr="00CA53A1">
        <w:rPr>
          <w:sz w:val="22"/>
          <w:szCs w:val="22"/>
          <w:lang w:val="en-GB"/>
        </w:rPr>
        <w:t>the Internet, and are used to formulate ac</w:t>
      </w:r>
      <w:r w:rsidR="00B27B5B">
        <w:rPr>
          <w:sz w:val="22"/>
          <w:szCs w:val="22"/>
          <w:lang w:val="en-GB"/>
        </w:rPr>
        <w:t xml:space="preserve">curate behavioural prediction using the </w:t>
      </w:r>
      <w:r w:rsidR="00CE7BC4" w:rsidRPr="00CA53A1">
        <w:rPr>
          <w:sz w:val="22"/>
          <w:szCs w:val="22"/>
          <w:lang w:val="en-GB"/>
        </w:rPr>
        <w:t xml:space="preserve">so-called </w:t>
      </w:r>
      <w:r w:rsidR="00C41149">
        <w:rPr>
          <w:sz w:val="22"/>
          <w:szCs w:val="22"/>
          <w:lang w:val="en-GB"/>
        </w:rPr>
        <w:t>‘</w:t>
      </w:r>
      <w:r w:rsidR="00CE7BC4" w:rsidRPr="00C41149">
        <w:rPr>
          <w:sz w:val="22"/>
          <w:szCs w:val="22"/>
          <w:lang w:val="en-GB"/>
        </w:rPr>
        <w:t>big data analytics</w:t>
      </w:r>
      <w:r w:rsidR="00CE7BC4" w:rsidRPr="00CA53A1">
        <w:rPr>
          <w:i/>
          <w:sz w:val="22"/>
          <w:szCs w:val="22"/>
          <w:lang w:val="en-GB"/>
        </w:rPr>
        <w:t xml:space="preserve"> </w:t>
      </w:r>
      <w:r w:rsidR="00CE7BC4" w:rsidRPr="00CA53A1">
        <w:rPr>
          <w:sz w:val="22"/>
          <w:szCs w:val="22"/>
          <w:lang w:val="en-GB"/>
        </w:rPr>
        <w:t>techniques</w:t>
      </w:r>
      <w:r w:rsidR="00C41149">
        <w:rPr>
          <w:sz w:val="22"/>
          <w:szCs w:val="22"/>
          <w:lang w:val="en-GB"/>
        </w:rPr>
        <w:t>’</w:t>
      </w:r>
      <w:r w:rsidR="00CE7BC4" w:rsidRPr="00CA53A1">
        <w:rPr>
          <w:sz w:val="22"/>
          <w:szCs w:val="22"/>
          <w:lang w:val="en-GB"/>
        </w:rPr>
        <w:t xml:space="preserve">. </w:t>
      </w:r>
      <w:r w:rsidR="00A87BA8">
        <w:rPr>
          <w:sz w:val="22"/>
          <w:szCs w:val="22"/>
          <w:lang w:val="en-US"/>
        </w:rPr>
        <w:t>More specific,</w:t>
      </w:r>
      <w:r w:rsidR="006531DD" w:rsidRPr="00CA53A1">
        <w:rPr>
          <w:sz w:val="22"/>
          <w:szCs w:val="22"/>
          <w:lang w:val="en-US"/>
        </w:rPr>
        <w:t xml:space="preserve"> what is regarded as </w:t>
      </w:r>
      <w:r w:rsidR="00B1488E" w:rsidRPr="00CA53A1">
        <w:rPr>
          <w:sz w:val="22"/>
          <w:szCs w:val="22"/>
          <w:lang w:val="en-US"/>
        </w:rPr>
        <w:t xml:space="preserve">a </w:t>
      </w:r>
      <w:r w:rsidR="00A87BA8">
        <w:rPr>
          <w:sz w:val="22"/>
          <w:szCs w:val="22"/>
          <w:lang w:val="en-US"/>
        </w:rPr>
        <w:t xml:space="preserve">valuable </w:t>
      </w:r>
      <w:r w:rsidR="00B1488E" w:rsidRPr="00CA53A1">
        <w:rPr>
          <w:sz w:val="22"/>
          <w:szCs w:val="22"/>
          <w:lang w:val="en-US"/>
        </w:rPr>
        <w:t xml:space="preserve">good is </w:t>
      </w:r>
      <w:r w:rsidR="00C97E31" w:rsidRPr="00CA53A1">
        <w:rPr>
          <w:sz w:val="22"/>
          <w:szCs w:val="22"/>
          <w:lang w:val="en-US"/>
        </w:rPr>
        <w:t xml:space="preserve">the </w:t>
      </w:r>
      <w:r w:rsidR="00B1488E" w:rsidRPr="00CA53A1">
        <w:rPr>
          <w:sz w:val="22"/>
          <w:szCs w:val="22"/>
          <w:lang w:val="en-US"/>
        </w:rPr>
        <w:t xml:space="preserve">information that </w:t>
      </w:r>
      <w:r w:rsidR="000F7629" w:rsidRPr="00CA53A1">
        <w:rPr>
          <w:sz w:val="22"/>
          <w:szCs w:val="22"/>
          <w:lang w:val="en-US"/>
        </w:rPr>
        <w:t xml:space="preserve">public and private actors can derive </w:t>
      </w:r>
      <w:r w:rsidR="00C97E31" w:rsidRPr="00CA53A1">
        <w:rPr>
          <w:sz w:val="22"/>
          <w:szCs w:val="22"/>
          <w:lang w:val="en-US"/>
        </w:rPr>
        <w:t xml:space="preserve">from a huge </w:t>
      </w:r>
      <w:r w:rsidR="00E72268" w:rsidRPr="00CA53A1">
        <w:rPr>
          <w:sz w:val="22"/>
          <w:szCs w:val="22"/>
          <w:lang w:val="en-US"/>
        </w:rPr>
        <w:t>amount</w:t>
      </w:r>
      <w:r w:rsidR="00C97E31" w:rsidRPr="00CA53A1">
        <w:rPr>
          <w:sz w:val="22"/>
          <w:szCs w:val="22"/>
          <w:lang w:val="en-US"/>
        </w:rPr>
        <w:t xml:space="preserve"> of data</w:t>
      </w:r>
      <w:r w:rsidR="00B1488E" w:rsidRPr="00CA53A1">
        <w:rPr>
          <w:sz w:val="22"/>
          <w:szCs w:val="22"/>
          <w:lang w:val="en-US"/>
        </w:rPr>
        <w:t>.</w:t>
      </w:r>
      <w:r w:rsidR="0056073B" w:rsidRPr="00CA53A1">
        <w:rPr>
          <w:rStyle w:val="Rimandonotaapidipagina"/>
          <w:sz w:val="22"/>
          <w:szCs w:val="22"/>
          <w:lang w:val="en-US"/>
        </w:rPr>
        <w:footnoteReference w:id="4"/>
      </w:r>
      <w:r w:rsidR="00B1488E" w:rsidRPr="00CA53A1">
        <w:rPr>
          <w:sz w:val="22"/>
          <w:szCs w:val="22"/>
          <w:lang w:val="en-US"/>
        </w:rPr>
        <w:t xml:space="preserve"> T</w:t>
      </w:r>
      <w:r w:rsidR="003422DE" w:rsidRPr="00CA53A1">
        <w:rPr>
          <w:sz w:val="22"/>
          <w:szCs w:val="22"/>
          <w:lang w:val="en-US"/>
        </w:rPr>
        <w:t xml:space="preserve">hese data, </w:t>
      </w:r>
      <w:r w:rsidR="00C15F97" w:rsidRPr="00CA53A1">
        <w:rPr>
          <w:sz w:val="22"/>
          <w:szCs w:val="22"/>
          <w:lang w:val="en-US"/>
        </w:rPr>
        <w:t xml:space="preserve">both </w:t>
      </w:r>
      <w:r w:rsidR="003422DE" w:rsidRPr="00CA53A1">
        <w:rPr>
          <w:sz w:val="22"/>
          <w:szCs w:val="22"/>
          <w:lang w:val="en-US"/>
        </w:rPr>
        <w:t xml:space="preserve">personal and anonymous, are </w:t>
      </w:r>
      <w:r w:rsidR="000F7629" w:rsidRPr="00CA53A1">
        <w:rPr>
          <w:sz w:val="22"/>
          <w:szCs w:val="22"/>
          <w:lang w:val="en-US"/>
        </w:rPr>
        <w:t>often referred to as</w:t>
      </w:r>
      <w:r w:rsidR="00C15F97" w:rsidRPr="00CA53A1">
        <w:rPr>
          <w:sz w:val="22"/>
          <w:szCs w:val="22"/>
          <w:lang w:val="en-US"/>
        </w:rPr>
        <w:t xml:space="preserve"> </w:t>
      </w:r>
      <w:r w:rsidR="00C41149">
        <w:rPr>
          <w:sz w:val="22"/>
          <w:szCs w:val="22"/>
          <w:lang w:val="en-US"/>
        </w:rPr>
        <w:t>‘</w:t>
      </w:r>
      <w:r w:rsidR="008D4E33" w:rsidRPr="00C41149">
        <w:rPr>
          <w:sz w:val="22"/>
          <w:szCs w:val="22"/>
          <w:lang w:val="en-US"/>
        </w:rPr>
        <w:t>big d</w:t>
      </w:r>
      <w:r w:rsidR="00B1488E" w:rsidRPr="00C41149">
        <w:rPr>
          <w:sz w:val="22"/>
          <w:szCs w:val="22"/>
          <w:lang w:val="en-US"/>
        </w:rPr>
        <w:t>ata</w:t>
      </w:r>
      <w:r w:rsidR="00C41149">
        <w:rPr>
          <w:sz w:val="22"/>
          <w:szCs w:val="22"/>
          <w:lang w:val="en-US"/>
        </w:rPr>
        <w:t>’</w:t>
      </w:r>
      <w:r w:rsidR="008D4E33" w:rsidRPr="00CA53A1">
        <w:rPr>
          <w:sz w:val="22"/>
          <w:szCs w:val="22"/>
          <w:lang w:val="en-US"/>
        </w:rPr>
        <w:t>. Big d</w:t>
      </w:r>
      <w:r w:rsidR="00CE7BC4" w:rsidRPr="00CA53A1">
        <w:rPr>
          <w:sz w:val="22"/>
          <w:szCs w:val="22"/>
          <w:lang w:val="en-US"/>
        </w:rPr>
        <w:t xml:space="preserve">ata are </w:t>
      </w:r>
      <w:r w:rsidR="00C97E31" w:rsidRPr="00CA53A1">
        <w:rPr>
          <w:sz w:val="22"/>
          <w:szCs w:val="22"/>
          <w:lang w:val="en-US"/>
        </w:rPr>
        <w:t>data of great</w:t>
      </w:r>
      <w:r w:rsidR="00A64E94" w:rsidRPr="00CA53A1">
        <w:rPr>
          <w:sz w:val="22"/>
          <w:szCs w:val="22"/>
          <w:lang w:val="en-US"/>
        </w:rPr>
        <w:t xml:space="preserve"> volume, velocity and v</w:t>
      </w:r>
      <w:r w:rsidR="00B1488E" w:rsidRPr="00CA53A1">
        <w:rPr>
          <w:sz w:val="22"/>
          <w:szCs w:val="22"/>
          <w:lang w:val="en-US"/>
        </w:rPr>
        <w:t>ariety</w:t>
      </w:r>
      <w:r w:rsidR="0056073B" w:rsidRPr="00CA53A1">
        <w:rPr>
          <w:rStyle w:val="Rimandonotaapidipagina"/>
          <w:sz w:val="22"/>
          <w:szCs w:val="22"/>
          <w:lang w:val="en-US"/>
        </w:rPr>
        <w:footnoteReference w:id="5"/>
      </w:r>
      <w:r w:rsidR="00B27B5B">
        <w:rPr>
          <w:sz w:val="22"/>
          <w:szCs w:val="22"/>
          <w:lang w:val="en-US"/>
        </w:rPr>
        <w:t xml:space="preserve"> from which useful conclusions </w:t>
      </w:r>
      <w:r w:rsidR="003422DE" w:rsidRPr="00CA53A1">
        <w:rPr>
          <w:sz w:val="22"/>
          <w:szCs w:val="22"/>
          <w:lang w:val="en-US"/>
        </w:rPr>
        <w:t xml:space="preserve">can be inferred </w:t>
      </w:r>
      <w:r w:rsidR="00C97E31" w:rsidRPr="00CA53A1">
        <w:rPr>
          <w:sz w:val="22"/>
          <w:szCs w:val="22"/>
          <w:lang w:val="en-US"/>
        </w:rPr>
        <w:t xml:space="preserve">through </w:t>
      </w:r>
      <w:r w:rsidR="00B27B5B">
        <w:rPr>
          <w:sz w:val="22"/>
          <w:szCs w:val="22"/>
          <w:lang w:val="en-US"/>
        </w:rPr>
        <w:t>data mining</w:t>
      </w:r>
      <w:r w:rsidR="00C15F97" w:rsidRPr="00CA53A1">
        <w:rPr>
          <w:sz w:val="22"/>
          <w:szCs w:val="22"/>
          <w:lang w:val="en-US"/>
        </w:rPr>
        <w:t>.</w:t>
      </w:r>
      <w:r w:rsidR="0056073B" w:rsidRPr="00CA53A1">
        <w:rPr>
          <w:rStyle w:val="Rimandonotaapidipagina"/>
          <w:sz w:val="22"/>
          <w:szCs w:val="22"/>
          <w:lang w:val="en-US"/>
        </w:rPr>
        <w:footnoteReference w:id="6"/>
      </w:r>
    </w:p>
    <w:p w14:paraId="44E109CE" w14:textId="0D7A0C29" w:rsidR="00621335" w:rsidRDefault="003422DE" w:rsidP="00621335">
      <w:pPr>
        <w:spacing w:after="120"/>
        <w:ind w:firstLine="567"/>
        <w:jc w:val="both"/>
        <w:rPr>
          <w:sz w:val="22"/>
          <w:szCs w:val="22"/>
          <w:lang w:val="en-US"/>
        </w:rPr>
      </w:pPr>
      <w:r w:rsidRPr="00CA53A1">
        <w:rPr>
          <w:sz w:val="22"/>
          <w:szCs w:val="22"/>
          <w:lang w:val="en-US"/>
        </w:rPr>
        <w:t xml:space="preserve">In fact, </w:t>
      </w:r>
      <w:r w:rsidR="00D84C22" w:rsidRPr="00CA53A1">
        <w:rPr>
          <w:sz w:val="22"/>
          <w:szCs w:val="22"/>
          <w:lang w:val="en-US"/>
        </w:rPr>
        <w:t xml:space="preserve">the information that </w:t>
      </w:r>
      <w:r w:rsidR="008D4E33" w:rsidRPr="00CA53A1">
        <w:rPr>
          <w:sz w:val="22"/>
          <w:szCs w:val="22"/>
          <w:lang w:val="en-US"/>
        </w:rPr>
        <w:t xml:space="preserve">big data </w:t>
      </w:r>
      <w:r w:rsidRPr="00CA53A1">
        <w:rPr>
          <w:sz w:val="22"/>
          <w:szCs w:val="22"/>
          <w:lang w:val="en-US"/>
        </w:rPr>
        <w:t xml:space="preserve">analytics </w:t>
      </w:r>
      <w:r w:rsidR="00CE7BC4" w:rsidRPr="00CA53A1">
        <w:rPr>
          <w:sz w:val="22"/>
          <w:szCs w:val="22"/>
          <w:lang w:val="en-US"/>
        </w:rPr>
        <w:t xml:space="preserve">can </w:t>
      </w:r>
      <w:r w:rsidR="00F65546" w:rsidRPr="00CA53A1">
        <w:rPr>
          <w:sz w:val="22"/>
          <w:szCs w:val="22"/>
          <w:lang w:val="en-US"/>
        </w:rPr>
        <w:t xml:space="preserve">infer </w:t>
      </w:r>
      <w:r w:rsidR="00B04124" w:rsidRPr="00CA53A1">
        <w:rPr>
          <w:sz w:val="22"/>
          <w:szCs w:val="22"/>
          <w:lang w:val="en-US"/>
        </w:rPr>
        <w:t xml:space="preserve">from </w:t>
      </w:r>
      <w:r w:rsidRPr="00CA53A1">
        <w:rPr>
          <w:sz w:val="22"/>
          <w:szCs w:val="22"/>
          <w:lang w:val="en-US"/>
        </w:rPr>
        <w:t xml:space="preserve">data disseminated by </w:t>
      </w:r>
      <w:r w:rsidR="004909C4" w:rsidRPr="00CA53A1">
        <w:rPr>
          <w:sz w:val="22"/>
          <w:szCs w:val="22"/>
          <w:lang w:val="en-US"/>
        </w:rPr>
        <w:t>Internet users</w:t>
      </w:r>
      <w:r w:rsidR="00D84C22" w:rsidRPr="00CA53A1">
        <w:rPr>
          <w:sz w:val="22"/>
          <w:szCs w:val="22"/>
          <w:lang w:val="en-US"/>
        </w:rPr>
        <w:t xml:space="preserve"> </w:t>
      </w:r>
      <w:r w:rsidR="00A87BA8">
        <w:rPr>
          <w:sz w:val="22"/>
          <w:szCs w:val="22"/>
          <w:lang w:val="en-US"/>
        </w:rPr>
        <w:t>is</w:t>
      </w:r>
      <w:r w:rsidR="00D84C22" w:rsidRPr="00CA53A1">
        <w:rPr>
          <w:sz w:val="22"/>
          <w:szCs w:val="22"/>
          <w:lang w:val="en-US"/>
        </w:rPr>
        <w:t xml:space="preserve"> </w:t>
      </w:r>
      <w:r w:rsidR="000F7629" w:rsidRPr="00CA53A1">
        <w:rPr>
          <w:sz w:val="22"/>
          <w:szCs w:val="22"/>
          <w:lang w:val="en-US"/>
        </w:rPr>
        <w:t xml:space="preserve">often employed for </w:t>
      </w:r>
      <w:r w:rsidR="00A87BA8">
        <w:rPr>
          <w:sz w:val="22"/>
          <w:szCs w:val="22"/>
          <w:lang w:val="en-US"/>
        </w:rPr>
        <w:t xml:space="preserve">a range of commercial purposes. These include </w:t>
      </w:r>
      <w:r w:rsidR="00DD3673" w:rsidRPr="00CA53A1">
        <w:rPr>
          <w:sz w:val="22"/>
          <w:szCs w:val="22"/>
          <w:lang w:val="en-US"/>
        </w:rPr>
        <w:t>as improving</w:t>
      </w:r>
      <w:r w:rsidR="000B13C1" w:rsidRPr="00CA53A1">
        <w:rPr>
          <w:sz w:val="22"/>
          <w:szCs w:val="22"/>
          <w:lang w:val="en-US"/>
        </w:rPr>
        <w:t xml:space="preserve"> services</w:t>
      </w:r>
      <w:r w:rsidR="00DD3673" w:rsidRPr="00CA53A1">
        <w:rPr>
          <w:sz w:val="22"/>
          <w:szCs w:val="22"/>
          <w:lang w:val="en-US"/>
        </w:rPr>
        <w:t xml:space="preserve"> and products</w:t>
      </w:r>
      <w:r w:rsidR="000B13C1" w:rsidRPr="00CA53A1">
        <w:rPr>
          <w:sz w:val="22"/>
          <w:szCs w:val="22"/>
          <w:lang w:val="en-US"/>
        </w:rPr>
        <w:t>, d</w:t>
      </w:r>
      <w:r w:rsidR="000F7629" w:rsidRPr="00CA53A1">
        <w:rPr>
          <w:sz w:val="22"/>
          <w:szCs w:val="22"/>
          <w:lang w:val="en-US"/>
        </w:rPr>
        <w:t>eveloping targeted advertisement</w:t>
      </w:r>
      <w:r w:rsidR="00A87BA8">
        <w:rPr>
          <w:sz w:val="22"/>
          <w:szCs w:val="22"/>
          <w:lang w:val="en-US"/>
        </w:rPr>
        <w:t>s</w:t>
      </w:r>
      <w:r w:rsidR="000F7629" w:rsidRPr="00CA53A1">
        <w:rPr>
          <w:sz w:val="22"/>
          <w:szCs w:val="22"/>
          <w:lang w:val="en-US"/>
        </w:rPr>
        <w:t xml:space="preserve">, </w:t>
      </w:r>
      <w:r w:rsidR="00A87BA8">
        <w:rPr>
          <w:sz w:val="22"/>
          <w:szCs w:val="22"/>
          <w:lang w:val="en-US"/>
        </w:rPr>
        <w:t>tailoring</w:t>
      </w:r>
      <w:r w:rsidR="00B00340" w:rsidRPr="00CA53A1">
        <w:rPr>
          <w:sz w:val="22"/>
          <w:szCs w:val="22"/>
          <w:lang w:val="en-US"/>
        </w:rPr>
        <w:t xml:space="preserve"> goods </w:t>
      </w:r>
      <w:r w:rsidR="00767083">
        <w:rPr>
          <w:sz w:val="22"/>
          <w:szCs w:val="22"/>
          <w:lang w:val="en-US"/>
        </w:rPr>
        <w:t xml:space="preserve">offered </w:t>
      </w:r>
      <w:r w:rsidR="00A87BA8">
        <w:rPr>
          <w:sz w:val="22"/>
          <w:szCs w:val="22"/>
          <w:lang w:val="en-US"/>
        </w:rPr>
        <w:t>to meet t</w:t>
      </w:r>
      <w:r w:rsidR="009E24CE" w:rsidRPr="00CA53A1">
        <w:rPr>
          <w:sz w:val="22"/>
          <w:szCs w:val="22"/>
          <w:lang w:val="en-US"/>
        </w:rPr>
        <w:t>he characteris</w:t>
      </w:r>
      <w:r w:rsidR="00A90656" w:rsidRPr="00CA53A1">
        <w:rPr>
          <w:sz w:val="22"/>
          <w:szCs w:val="22"/>
          <w:lang w:val="en-US"/>
        </w:rPr>
        <w:t xml:space="preserve">tics and the needs of </w:t>
      </w:r>
      <w:r w:rsidR="00A87BA8">
        <w:rPr>
          <w:sz w:val="22"/>
          <w:szCs w:val="22"/>
          <w:lang w:val="en-US"/>
        </w:rPr>
        <w:t>individual users.</w:t>
      </w:r>
      <w:r w:rsidR="00BD20E5" w:rsidRPr="00CA53A1">
        <w:rPr>
          <w:rStyle w:val="Rimandonotaapidipagina"/>
          <w:sz w:val="22"/>
          <w:szCs w:val="22"/>
          <w:lang w:val="en-US"/>
        </w:rPr>
        <w:footnoteReference w:id="7"/>
      </w:r>
      <w:r w:rsidR="00C15F97" w:rsidRPr="00CA53A1">
        <w:rPr>
          <w:sz w:val="22"/>
          <w:szCs w:val="22"/>
          <w:lang w:val="en-US"/>
        </w:rPr>
        <w:t xml:space="preserve"> </w:t>
      </w:r>
      <w:r w:rsidR="00B00340" w:rsidRPr="00CA53A1">
        <w:rPr>
          <w:sz w:val="22"/>
          <w:szCs w:val="22"/>
          <w:lang w:val="en-US"/>
        </w:rPr>
        <w:t xml:space="preserve">Personal data processing </w:t>
      </w:r>
      <w:r w:rsidR="004772C6" w:rsidRPr="00CA53A1">
        <w:rPr>
          <w:sz w:val="22"/>
          <w:szCs w:val="22"/>
          <w:lang w:val="en-US"/>
        </w:rPr>
        <w:t>is a profitable activity, which allows companies to develop and offer new services.</w:t>
      </w:r>
      <w:r w:rsidR="00A87BA8">
        <w:rPr>
          <w:sz w:val="22"/>
          <w:szCs w:val="22"/>
          <w:lang w:val="en-US"/>
        </w:rPr>
        <w:t xml:space="preserve"> This would explain why </w:t>
      </w:r>
      <w:r w:rsidR="000B13C1" w:rsidRPr="00CA53A1">
        <w:rPr>
          <w:sz w:val="22"/>
          <w:szCs w:val="22"/>
          <w:lang w:val="en-US"/>
        </w:rPr>
        <w:t>European lawmaker</w:t>
      </w:r>
      <w:r w:rsidR="00A87BA8">
        <w:rPr>
          <w:sz w:val="22"/>
          <w:szCs w:val="22"/>
          <w:lang w:val="en-US"/>
        </w:rPr>
        <w:t>s generally regard the</w:t>
      </w:r>
      <w:r w:rsidR="004772C6" w:rsidRPr="00CA53A1">
        <w:rPr>
          <w:sz w:val="22"/>
          <w:szCs w:val="22"/>
          <w:lang w:val="en-US"/>
        </w:rPr>
        <w:t xml:space="preserve"> </w:t>
      </w:r>
      <w:r w:rsidR="00A87BA8">
        <w:rPr>
          <w:sz w:val="22"/>
          <w:szCs w:val="22"/>
          <w:lang w:val="en-US"/>
        </w:rPr>
        <w:t xml:space="preserve">flow and the </w:t>
      </w:r>
      <w:r w:rsidR="004772C6" w:rsidRPr="00CA53A1">
        <w:rPr>
          <w:sz w:val="22"/>
          <w:szCs w:val="22"/>
          <w:lang w:val="en-US"/>
        </w:rPr>
        <w:t>sharing of users’ data</w:t>
      </w:r>
      <w:r w:rsidR="00A87BA8">
        <w:rPr>
          <w:sz w:val="22"/>
          <w:szCs w:val="22"/>
          <w:lang w:val="en-US"/>
        </w:rPr>
        <w:t xml:space="preserve"> favorably, since this </w:t>
      </w:r>
      <w:r w:rsidR="00A90656" w:rsidRPr="00CA53A1">
        <w:rPr>
          <w:sz w:val="22"/>
          <w:szCs w:val="22"/>
          <w:lang w:val="en-US"/>
        </w:rPr>
        <w:t xml:space="preserve">enables businesses and </w:t>
      </w:r>
      <w:r w:rsidR="004772C6" w:rsidRPr="00CA53A1">
        <w:rPr>
          <w:sz w:val="22"/>
          <w:szCs w:val="22"/>
          <w:lang w:val="en-US"/>
        </w:rPr>
        <w:t>entities to grow in a competitive market.</w:t>
      </w:r>
      <w:r w:rsidR="00C4328E" w:rsidRPr="00CA53A1">
        <w:rPr>
          <w:rStyle w:val="Rimandonotaapidipagina"/>
          <w:sz w:val="22"/>
          <w:szCs w:val="22"/>
          <w:lang w:val="en-US"/>
        </w:rPr>
        <w:footnoteReference w:id="8"/>
      </w:r>
      <w:r w:rsidR="004772C6" w:rsidRPr="00CA53A1">
        <w:rPr>
          <w:sz w:val="22"/>
          <w:szCs w:val="22"/>
          <w:lang w:val="en-US"/>
        </w:rPr>
        <w:t xml:space="preserve"> </w:t>
      </w:r>
      <w:r w:rsidR="000F7629" w:rsidRPr="00CA53A1">
        <w:rPr>
          <w:sz w:val="22"/>
          <w:szCs w:val="22"/>
          <w:lang w:val="en-US"/>
        </w:rPr>
        <w:t>More generally, d</w:t>
      </w:r>
      <w:r w:rsidR="00AF4537" w:rsidRPr="00CA53A1">
        <w:rPr>
          <w:sz w:val="22"/>
          <w:szCs w:val="22"/>
          <w:lang w:val="en-US"/>
        </w:rPr>
        <w:t xml:space="preserve">ata are </w:t>
      </w:r>
      <w:r w:rsidR="00A87BA8">
        <w:rPr>
          <w:sz w:val="22"/>
          <w:szCs w:val="22"/>
          <w:lang w:val="en-US"/>
        </w:rPr>
        <w:t xml:space="preserve">also </w:t>
      </w:r>
      <w:r w:rsidR="00AF4537" w:rsidRPr="00CA53A1">
        <w:rPr>
          <w:sz w:val="22"/>
          <w:szCs w:val="22"/>
          <w:lang w:val="en-US"/>
        </w:rPr>
        <w:t xml:space="preserve">necessary for </w:t>
      </w:r>
      <w:r w:rsidR="00694EF2" w:rsidRPr="00CA53A1">
        <w:rPr>
          <w:sz w:val="22"/>
          <w:szCs w:val="22"/>
          <w:lang w:val="en-US"/>
        </w:rPr>
        <w:t>Artificial Intelligence (hereinafter: AI) systems</w:t>
      </w:r>
      <w:r w:rsidR="000267B5" w:rsidRPr="00CA53A1">
        <w:rPr>
          <w:sz w:val="22"/>
          <w:szCs w:val="22"/>
          <w:lang w:val="en-US"/>
        </w:rPr>
        <w:t xml:space="preserve"> to perform</w:t>
      </w:r>
      <w:r w:rsidR="00AF4537" w:rsidRPr="00CA53A1">
        <w:rPr>
          <w:sz w:val="22"/>
          <w:szCs w:val="22"/>
          <w:lang w:val="en-US"/>
        </w:rPr>
        <w:t xml:space="preserve"> their tasks</w:t>
      </w:r>
      <w:r w:rsidR="00C4328E" w:rsidRPr="00CA53A1">
        <w:rPr>
          <w:sz w:val="22"/>
          <w:szCs w:val="22"/>
          <w:lang w:val="en-US"/>
        </w:rPr>
        <w:t>.</w:t>
      </w:r>
      <w:r w:rsidR="00C4328E" w:rsidRPr="00CA53A1">
        <w:rPr>
          <w:rStyle w:val="Rimandonotaapidipagina"/>
          <w:sz w:val="22"/>
          <w:szCs w:val="22"/>
          <w:lang w:val="en-US"/>
        </w:rPr>
        <w:t xml:space="preserve"> </w:t>
      </w:r>
      <w:r w:rsidR="00C4328E" w:rsidRPr="00CA53A1">
        <w:rPr>
          <w:rStyle w:val="Rimandonotaapidipagina"/>
          <w:sz w:val="22"/>
          <w:szCs w:val="22"/>
          <w:lang w:val="en-US"/>
        </w:rPr>
        <w:footnoteReference w:id="9"/>
      </w:r>
    </w:p>
    <w:p w14:paraId="07434ED1" w14:textId="3D420695" w:rsidR="009D57B2" w:rsidRPr="00621335" w:rsidRDefault="00A87BA8" w:rsidP="00621335">
      <w:pPr>
        <w:spacing w:after="120"/>
        <w:ind w:firstLine="567"/>
        <w:jc w:val="both"/>
        <w:rPr>
          <w:sz w:val="22"/>
          <w:szCs w:val="22"/>
          <w:lang w:val="en-US"/>
        </w:rPr>
      </w:pPr>
      <w:r w:rsidRPr="00A87BA8">
        <w:rPr>
          <w:sz w:val="22"/>
          <w:szCs w:val="22"/>
          <w:lang w:val="en-US"/>
        </w:rPr>
        <w:t>However, t</w:t>
      </w:r>
      <w:r w:rsidRPr="00A87BA8">
        <w:rPr>
          <w:sz w:val="22"/>
          <w:szCs w:val="22"/>
          <w:lang w:val="en-GB"/>
        </w:rPr>
        <w:t xml:space="preserve">he collection of huge quantities of personal data leads to a high risk of mass violations of people’s fundamental rights, namely self-determination, personal identity, non-discrimination and, </w:t>
      </w:r>
      <w:r w:rsidRPr="00C41149">
        <w:rPr>
          <w:i/>
          <w:sz w:val="22"/>
          <w:szCs w:val="22"/>
          <w:lang w:val="en-GB"/>
        </w:rPr>
        <w:t>inter alia</w:t>
      </w:r>
      <w:r w:rsidRPr="00A87BA8">
        <w:rPr>
          <w:sz w:val="22"/>
          <w:szCs w:val="22"/>
          <w:lang w:val="en-GB"/>
        </w:rPr>
        <w:t xml:space="preserve">, data protection. Examples of the latter include: accidental data breaches; </w:t>
      </w:r>
      <w:r w:rsidR="007B6906" w:rsidRPr="00CA53A1">
        <w:rPr>
          <w:sz w:val="22"/>
          <w:szCs w:val="22"/>
          <w:lang w:val="en-GB"/>
        </w:rPr>
        <w:t xml:space="preserve">when </w:t>
      </w:r>
      <w:r w:rsidR="00CE7BC4" w:rsidRPr="00CA53A1">
        <w:rPr>
          <w:sz w:val="22"/>
          <w:szCs w:val="22"/>
          <w:lang w:val="en-GB"/>
        </w:rPr>
        <w:t>a</w:t>
      </w:r>
      <w:r w:rsidR="007B6906" w:rsidRPr="00CA53A1">
        <w:rPr>
          <w:sz w:val="22"/>
          <w:szCs w:val="22"/>
          <w:lang w:val="en-GB"/>
        </w:rPr>
        <w:t xml:space="preserve"> large-scale processing of personal data </w:t>
      </w:r>
      <w:r w:rsidR="00CE7BC4" w:rsidRPr="00CA53A1">
        <w:rPr>
          <w:sz w:val="22"/>
          <w:szCs w:val="22"/>
          <w:lang w:val="en-GB"/>
        </w:rPr>
        <w:t>is</w:t>
      </w:r>
      <w:r w:rsidR="00F60761" w:rsidRPr="00CA53A1">
        <w:rPr>
          <w:sz w:val="22"/>
          <w:szCs w:val="22"/>
          <w:lang w:val="en-GB"/>
        </w:rPr>
        <w:t xml:space="preserve"> carried out </w:t>
      </w:r>
      <w:r>
        <w:rPr>
          <w:sz w:val="22"/>
          <w:szCs w:val="22"/>
          <w:lang w:val="en-GB"/>
        </w:rPr>
        <w:t>without a proper legal basis</w:t>
      </w:r>
      <w:r w:rsidR="007C02EE">
        <w:rPr>
          <w:sz w:val="22"/>
          <w:szCs w:val="22"/>
          <w:lang w:val="en-GB"/>
        </w:rPr>
        <w:t xml:space="preserve">; </w:t>
      </w:r>
      <w:r w:rsidR="004A317A" w:rsidRPr="00CA53A1">
        <w:rPr>
          <w:sz w:val="22"/>
          <w:szCs w:val="22"/>
          <w:lang w:val="en-GB"/>
        </w:rPr>
        <w:t>when people are not granted access to their personal data</w:t>
      </w:r>
      <w:r>
        <w:rPr>
          <w:sz w:val="22"/>
          <w:szCs w:val="22"/>
          <w:lang w:val="en-GB"/>
        </w:rPr>
        <w:t xml:space="preserve">; </w:t>
      </w:r>
      <w:r w:rsidRPr="00A87BA8">
        <w:rPr>
          <w:sz w:val="22"/>
          <w:szCs w:val="22"/>
          <w:lang w:val="en-GB"/>
        </w:rPr>
        <w:t>whenever an automated decision-making process results in discrimination against people and harms their self-determination, for example in some machine learning credit scoring algorithms.</w:t>
      </w:r>
      <w:r>
        <w:rPr>
          <w:sz w:val="22"/>
          <w:szCs w:val="22"/>
          <w:lang w:val="en-GB"/>
        </w:rPr>
        <w:t xml:space="preserve"> </w:t>
      </w:r>
    </w:p>
    <w:p w14:paraId="22FC1A0F" w14:textId="4382A737" w:rsidR="00AD4F6C" w:rsidRPr="00CA53A1" w:rsidRDefault="00A87BA8" w:rsidP="007A402C">
      <w:pPr>
        <w:spacing w:after="120"/>
        <w:ind w:firstLine="567"/>
        <w:jc w:val="both"/>
        <w:rPr>
          <w:sz w:val="22"/>
          <w:szCs w:val="22"/>
          <w:lang w:val="en-US"/>
        </w:rPr>
      </w:pPr>
      <w:r w:rsidRPr="00A87BA8">
        <w:rPr>
          <w:sz w:val="22"/>
          <w:szCs w:val="22"/>
          <w:lang w:val="en-GB"/>
        </w:rPr>
        <w:lastRenderedPageBreak/>
        <w:t xml:space="preserve">When such conducts occur on the Internet, they take on a cross-border dimension, negatively impacting individuals who live in different parts of the world. In these cases, the injured parties can </w:t>
      </w:r>
      <w:r w:rsidR="00B27B5B">
        <w:rPr>
          <w:sz w:val="22"/>
          <w:szCs w:val="22"/>
          <w:lang w:val="en-GB"/>
        </w:rPr>
        <w:t>hardly gather to initiate legal</w:t>
      </w:r>
      <w:r w:rsidRPr="00A87BA8">
        <w:rPr>
          <w:sz w:val="22"/>
          <w:szCs w:val="22"/>
          <w:lang w:val="en-GB"/>
        </w:rPr>
        <w:t xml:space="preserve"> proceedings against a data controller. Moreover, individuals alone often have neither the means nor the economic resources to pursue their rights in court; the power imbalance between traders and consumers is therefore particularly high</w:t>
      </w:r>
      <w:r w:rsidR="00C4328E" w:rsidRPr="00CA53A1">
        <w:rPr>
          <w:sz w:val="22"/>
          <w:szCs w:val="22"/>
          <w:lang w:val="en-GB"/>
        </w:rPr>
        <w:t>.</w:t>
      </w:r>
      <w:r w:rsidR="00C4328E" w:rsidRPr="00CA53A1">
        <w:rPr>
          <w:rStyle w:val="Rimandonotaapidipagina"/>
          <w:sz w:val="22"/>
          <w:szCs w:val="22"/>
          <w:lang w:val="en-GB"/>
        </w:rPr>
        <w:footnoteReference w:id="10"/>
      </w:r>
      <w:r w:rsidR="00D90F28" w:rsidRPr="00CA53A1">
        <w:rPr>
          <w:sz w:val="22"/>
          <w:szCs w:val="22"/>
          <w:lang w:val="en-GB"/>
        </w:rPr>
        <w:t xml:space="preserve"> </w:t>
      </w:r>
      <w:r w:rsidR="00902BD6" w:rsidRPr="00CA53A1">
        <w:rPr>
          <w:sz w:val="22"/>
          <w:szCs w:val="22"/>
          <w:lang w:val="en-GB"/>
        </w:rPr>
        <w:t xml:space="preserve">Consequently, the effectiveness of </w:t>
      </w:r>
      <w:r w:rsidR="005C419B" w:rsidRPr="00CA53A1">
        <w:rPr>
          <w:sz w:val="22"/>
          <w:szCs w:val="22"/>
          <w:lang w:val="en-GB"/>
        </w:rPr>
        <w:t>the General Data Protection</w:t>
      </w:r>
      <w:r w:rsidR="00D90F28" w:rsidRPr="00CA53A1">
        <w:rPr>
          <w:sz w:val="22"/>
          <w:szCs w:val="22"/>
          <w:lang w:val="en-GB"/>
        </w:rPr>
        <w:t xml:space="preserve"> Regulation (hereinafter: GDPR)</w:t>
      </w:r>
      <w:r w:rsidR="007D2F9E" w:rsidRPr="00CA53A1">
        <w:rPr>
          <w:sz w:val="22"/>
          <w:szCs w:val="22"/>
          <w:lang w:val="en-GB"/>
        </w:rPr>
        <w:t>,</w:t>
      </w:r>
      <w:r w:rsidR="00C4328E" w:rsidRPr="00CA53A1">
        <w:rPr>
          <w:rStyle w:val="Rimandonotaapidipagina"/>
          <w:sz w:val="22"/>
          <w:szCs w:val="22"/>
          <w:lang w:val="en-GB"/>
        </w:rPr>
        <w:footnoteReference w:id="11"/>
      </w:r>
      <w:r w:rsidR="007D2F9E" w:rsidRPr="00CA53A1">
        <w:rPr>
          <w:sz w:val="22"/>
          <w:szCs w:val="22"/>
          <w:lang w:val="en-GB"/>
        </w:rPr>
        <w:t xml:space="preserve"> </w:t>
      </w:r>
      <w:r w:rsidR="00B04124" w:rsidRPr="00CA53A1">
        <w:rPr>
          <w:sz w:val="22"/>
          <w:szCs w:val="22"/>
          <w:lang w:val="en-GB"/>
        </w:rPr>
        <w:t>which is</w:t>
      </w:r>
      <w:r w:rsidR="00331D81" w:rsidRPr="00CA53A1">
        <w:rPr>
          <w:sz w:val="22"/>
          <w:szCs w:val="22"/>
          <w:lang w:val="en-GB"/>
        </w:rPr>
        <w:t xml:space="preserve"> the cornerstone of European data protection law, </w:t>
      </w:r>
      <w:r w:rsidR="00D90F28" w:rsidRPr="00CA53A1">
        <w:rPr>
          <w:sz w:val="22"/>
          <w:szCs w:val="22"/>
          <w:lang w:val="en-GB"/>
        </w:rPr>
        <w:t>ends up being compromised.</w:t>
      </w:r>
      <w:r w:rsidR="00C4328E" w:rsidRPr="00CA53A1">
        <w:rPr>
          <w:rStyle w:val="Rimandonotaapidipagina"/>
          <w:sz w:val="22"/>
          <w:szCs w:val="22"/>
          <w:lang w:val="en-GB"/>
        </w:rPr>
        <w:footnoteReference w:id="12"/>
      </w:r>
    </w:p>
    <w:p w14:paraId="46356970" w14:textId="038EF81B" w:rsidR="00F56637" w:rsidRPr="00CA53A1" w:rsidRDefault="006B180C" w:rsidP="007A402C">
      <w:pPr>
        <w:spacing w:after="120"/>
        <w:ind w:firstLine="567"/>
        <w:jc w:val="both"/>
        <w:rPr>
          <w:sz w:val="22"/>
          <w:szCs w:val="22"/>
          <w:lang w:val="en-GB"/>
        </w:rPr>
      </w:pPr>
      <w:r w:rsidRPr="00CA53A1">
        <w:rPr>
          <w:sz w:val="22"/>
          <w:szCs w:val="22"/>
          <w:lang w:val="en-GB"/>
        </w:rPr>
        <w:t>Hence,</w:t>
      </w:r>
      <w:r w:rsidR="00A87BA8" w:rsidRPr="00A87BA8">
        <w:rPr>
          <w:sz w:val="24"/>
          <w:szCs w:val="24"/>
          <w:lang w:val="en-GB"/>
        </w:rPr>
        <w:t xml:space="preserve"> </w:t>
      </w:r>
      <w:r w:rsidR="00A87BA8" w:rsidRPr="00A87BA8">
        <w:rPr>
          <w:sz w:val="22"/>
          <w:szCs w:val="22"/>
          <w:lang w:val="en-GB"/>
        </w:rPr>
        <w:t>there arises the need for an effective enforcement system</w:t>
      </w:r>
      <w:r w:rsidR="008A20FF">
        <w:rPr>
          <w:sz w:val="22"/>
          <w:szCs w:val="22"/>
          <w:lang w:val="en-GB"/>
        </w:rPr>
        <w:t xml:space="preserve"> of EU data protection law implemented by </w:t>
      </w:r>
      <w:r w:rsidR="00A87BA8" w:rsidRPr="00A87BA8">
        <w:rPr>
          <w:sz w:val="22"/>
          <w:szCs w:val="22"/>
          <w:lang w:val="en-GB"/>
        </w:rPr>
        <w:t xml:space="preserve">both public and private actors. Considering the disruptive impact of personal data processing on a vast number of subjects and its potential consequences, a possible </w:t>
      </w:r>
      <w:r w:rsidR="00767083">
        <w:rPr>
          <w:sz w:val="22"/>
          <w:szCs w:val="22"/>
          <w:lang w:val="en-GB"/>
        </w:rPr>
        <w:t xml:space="preserve">approach </w:t>
      </w:r>
      <w:r w:rsidR="00A87BA8" w:rsidRPr="00A87BA8">
        <w:rPr>
          <w:sz w:val="22"/>
          <w:szCs w:val="22"/>
          <w:lang w:val="en-GB"/>
        </w:rPr>
        <w:t xml:space="preserve">could be to reassess the law of remedies </w:t>
      </w:r>
      <w:r w:rsidR="00A87BA8">
        <w:rPr>
          <w:sz w:val="22"/>
          <w:szCs w:val="22"/>
          <w:lang w:val="en-GB"/>
        </w:rPr>
        <w:t>on a collective basis</w:t>
      </w:r>
      <w:r w:rsidR="00F81A65" w:rsidRPr="00CA53A1">
        <w:rPr>
          <w:sz w:val="22"/>
          <w:szCs w:val="22"/>
          <w:lang w:val="en-GB"/>
        </w:rPr>
        <w:t xml:space="preserve">. </w:t>
      </w:r>
      <w:r w:rsidR="00C7019F" w:rsidRPr="00CA53A1">
        <w:rPr>
          <w:sz w:val="22"/>
          <w:szCs w:val="22"/>
          <w:lang w:val="en-GB"/>
        </w:rPr>
        <w:t>It would then</w:t>
      </w:r>
      <w:r w:rsidR="006B2B64" w:rsidRPr="00CA53A1">
        <w:rPr>
          <w:sz w:val="22"/>
          <w:szCs w:val="22"/>
          <w:lang w:val="en-GB"/>
        </w:rPr>
        <w:t xml:space="preserve"> be </w:t>
      </w:r>
      <w:r w:rsidR="00C7019F" w:rsidRPr="00CA53A1">
        <w:rPr>
          <w:sz w:val="22"/>
          <w:szCs w:val="22"/>
          <w:lang w:val="en-GB"/>
        </w:rPr>
        <w:t xml:space="preserve">crucial to coordinate </w:t>
      </w:r>
      <w:r w:rsidR="004540D7" w:rsidRPr="00CA53A1">
        <w:rPr>
          <w:sz w:val="22"/>
          <w:szCs w:val="22"/>
          <w:lang w:val="en-GB"/>
        </w:rPr>
        <w:t xml:space="preserve">the remedial system </w:t>
      </w:r>
      <w:r w:rsidR="006B2B64" w:rsidRPr="00CA53A1">
        <w:rPr>
          <w:sz w:val="22"/>
          <w:szCs w:val="22"/>
          <w:lang w:val="en-GB"/>
        </w:rPr>
        <w:t xml:space="preserve">with </w:t>
      </w:r>
      <w:r w:rsidR="007D2F9E" w:rsidRPr="00CA53A1">
        <w:rPr>
          <w:sz w:val="22"/>
          <w:szCs w:val="22"/>
          <w:lang w:val="en-GB"/>
        </w:rPr>
        <w:t>the protection offered by National Supervisory</w:t>
      </w:r>
      <w:r w:rsidR="00635CE6" w:rsidRPr="00CA53A1">
        <w:rPr>
          <w:sz w:val="22"/>
          <w:szCs w:val="22"/>
          <w:lang w:val="en-GB"/>
        </w:rPr>
        <w:t xml:space="preserve"> Authorities</w:t>
      </w:r>
      <w:r w:rsidR="006B2B64" w:rsidRPr="00CA53A1">
        <w:rPr>
          <w:sz w:val="22"/>
          <w:szCs w:val="22"/>
          <w:lang w:val="en-GB"/>
        </w:rPr>
        <w:t xml:space="preserve"> </w:t>
      </w:r>
      <w:r w:rsidR="008C37BC" w:rsidRPr="00CA53A1">
        <w:rPr>
          <w:sz w:val="22"/>
          <w:szCs w:val="22"/>
          <w:lang w:val="en-GB"/>
        </w:rPr>
        <w:t>and the risk-based approach</w:t>
      </w:r>
      <w:r w:rsidR="00802244" w:rsidRPr="00CA53A1">
        <w:rPr>
          <w:sz w:val="22"/>
          <w:szCs w:val="22"/>
          <w:lang w:val="en-GB"/>
        </w:rPr>
        <w:t xml:space="preserve"> </w:t>
      </w:r>
      <w:r w:rsidR="00635CE6" w:rsidRPr="00CA53A1">
        <w:rPr>
          <w:sz w:val="22"/>
          <w:szCs w:val="22"/>
          <w:lang w:val="en-GB"/>
        </w:rPr>
        <w:t xml:space="preserve">adopted by the </w:t>
      </w:r>
      <w:r w:rsidR="00C2688F" w:rsidRPr="00CA53A1">
        <w:rPr>
          <w:sz w:val="22"/>
          <w:szCs w:val="22"/>
          <w:lang w:val="en-GB"/>
        </w:rPr>
        <w:t>E</w:t>
      </w:r>
      <w:r w:rsidR="00E72E6E" w:rsidRPr="00CA53A1">
        <w:rPr>
          <w:sz w:val="22"/>
          <w:szCs w:val="22"/>
          <w:lang w:val="en-GB"/>
        </w:rPr>
        <w:t xml:space="preserve">uropean </w:t>
      </w:r>
      <w:r w:rsidR="00C2688F" w:rsidRPr="00CA53A1">
        <w:rPr>
          <w:sz w:val="22"/>
          <w:szCs w:val="22"/>
          <w:lang w:val="en-GB"/>
        </w:rPr>
        <w:t>U</w:t>
      </w:r>
      <w:r w:rsidR="00E72E6E" w:rsidRPr="00CA53A1">
        <w:rPr>
          <w:sz w:val="22"/>
          <w:szCs w:val="22"/>
          <w:lang w:val="en-GB"/>
        </w:rPr>
        <w:t>nion</w:t>
      </w:r>
      <w:r w:rsidR="00C2688F" w:rsidRPr="00CA53A1">
        <w:rPr>
          <w:sz w:val="22"/>
          <w:szCs w:val="22"/>
          <w:lang w:val="en-GB"/>
        </w:rPr>
        <w:t xml:space="preserve"> in </w:t>
      </w:r>
      <w:r w:rsidR="00635CE6" w:rsidRPr="00CA53A1">
        <w:rPr>
          <w:sz w:val="22"/>
          <w:szCs w:val="22"/>
          <w:lang w:val="en-GB"/>
        </w:rPr>
        <w:t>the law of new technologies.</w:t>
      </w:r>
      <w:r w:rsidR="00C4328E" w:rsidRPr="00CA53A1">
        <w:rPr>
          <w:rStyle w:val="Rimandonotaapidipagina"/>
          <w:sz w:val="22"/>
          <w:szCs w:val="22"/>
          <w:lang w:val="en-GB"/>
        </w:rPr>
        <w:footnoteReference w:id="13"/>
      </w:r>
      <w:r w:rsidR="00E45BC3" w:rsidRPr="00CA53A1">
        <w:rPr>
          <w:sz w:val="22"/>
          <w:szCs w:val="22"/>
          <w:lang w:val="en-GB"/>
        </w:rPr>
        <w:t xml:space="preserve"> </w:t>
      </w:r>
    </w:p>
    <w:p w14:paraId="4200A3D3" w14:textId="5D7E1F4C" w:rsidR="00B96F76" w:rsidRPr="00CA53A1" w:rsidRDefault="00F66807" w:rsidP="00621335">
      <w:pPr>
        <w:spacing w:after="120"/>
        <w:ind w:firstLine="709"/>
        <w:jc w:val="both"/>
        <w:rPr>
          <w:sz w:val="22"/>
          <w:szCs w:val="22"/>
          <w:vertAlign w:val="superscript"/>
          <w:lang w:val="en-GB"/>
        </w:rPr>
      </w:pPr>
      <w:r w:rsidRPr="00CA53A1">
        <w:rPr>
          <w:sz w:val="22"/>
          <w:szCs w:val="22"/>
          <w:lang w:val="en-GB"/>
        </w:rPr>
        <w:t>The</w:t>
      </w:r>
      <w:r w:rsidR="00F15191" w:rsidRPr="00CA53A1">
        <w:rPr>
          <w:sz w:val="22"/>
          <w:szCs w:val="22"/>
          <w:lang w:val="en-GB"/>
        </w:rPr>
        <w:t xml:space="preserve"> GDPR places </w:t>
      </w:r>
      <w:r w:rsidR="004540D7" w:rsidRPr="00CA53A1">
        <w:rPr>
          <w:sz w:val="22"/>
          <w:szCs w:val="22"/>
          <w:lang w:val="en-GB"/>
        </w:rPr>
        <w:t xml:space="preserve">considerable emphasis on </w:t>
      </w:r>
      <w:r w:rsidR="00F15191" w:rsidRPr="00CA53A1">
        <w:rPr>
          <w:sz w:val="22"/>
          <w:szCs w:val="22"/>
          <w:lang w:val="en-GB"/>
        </w:rPr>
        <w:t xml:space="preserve">public enforcement, </w:t>
      </w:r>
      <w:r w:rsidR="00A87BA8">
        <w:rPr>
          <w:sz w:val="22"/>
          <w:szCs w:val="22"/>
          <w:lang w:val="en-GB"/>
        </w:rPr>
        <w:t xml:space="preserve">conferring </w:t>
      </w:r>
      <w:r w:rsidR="004540D7" w:rsidRPr="00CA53A1">
        <w:rPr>
          <w:sz w:val="22"/>
          <w:szCs w:val="22"/>
          <w:lang w:val="en-GB"/>
        </w:rPr>
        <w:t xml:space="preserve">significant </w:t>
      </w:r>
      <w:r w:rsidR="00C7019F" w:rsidRPr="00CA53A1">
        <w:rPr>
          <w:sz w:val="22"/>
          <w:szCs w:val="22"/>
          <w:lang w:val="en-GB"/>
        </w:rPr>
        <w:t>powers</w:t>
      </w:r>
      <w:r w:rsidR="00A87BA8">
        <w:rPr>
          <w:sz w:val="22"/>
          <w:szCs w:val="22"/>
          <w:lang w:val="en-GB"/>
        </w:rPr>
        <w:t xml:space="preserve"> on</w:t>
      </w:r>
      <w:r w:rsidR="00F15191" w:rsidRPr="00CA53A1">
        <w:rPr>
          <w:sz w:val="22"/>
          <w:szCs w:val="22"/>
          <w:lang w:val="en-GB"/>
        </w:rPr>
        <w:t xml:space="preserve"> </w:t>
      </w:r>
      <w:r w:rsidR="00165E1C" w:rsidRPr="00CA53A1">
        <w:rPr>
          <w:sz w:val="22"/>
          <w:szCs w:val="22"/>
          <w:lang w:val="en-GB"/>
        </w:rPr>
        <w:t>Data Protection</w:t>
      </w:r>
      <w:r w:rsidR="00F15191" w:rsidRPr="00CA53A1">
        <w:rPr>
          <w:sz w:val="22"/>
          <w:szCs w:val="22"/>
          <w:lang w:val="en-GB"/>
        </w:rPr>
        <w:t xml:space="preserve"> Authorities.</w:t>
      </w:r>
      <w:r w:rsidR="00E72E6E" w:rsidRPr="00CA53A1">
        <w:rPr>
          <w:rStyle w:val="Rimandonotaapidipagina"/>
          <w:sz w:val="22"/>
          <w:szCs w:val="22"/>
          <w:lang w:val="en-GB"/>
        </w:rPr>
        <w:footnoteReference w:id="14"/>
      </w:r>
      <w:r w:rsidR="00F15191" w:rsidRPr="00CA53A1">
        <w:rPr>
          <w:sz w:val="22"/>
          <w:szCs w:val="22"/>
          <w:lang w:val="en-GB"/>
        </w:rPr>
        <w:t xml:space="preserve"> </w:t>
      </w:r>
      <w:r w:rsidR="00B96F76" w:rsidRPr="00CA53A1">
        <w:rPr>
          <w:sz w:val="22"/>
          <w:szCs w:val="22"/>
          <w:lang w:val="en-GB"/>
        </w:rPr>
        <w:t>However</w:t>
      </w:r>
      <w:r w:rsidR="0026387F" w:rsidRPr="00CA53A1">
        <w:rPr>
          <w:sz w:val="22"/>
          <w:szCs w:val="22"/>
          <w:lang w:val="en-GB"/>
        </w:rPr>
        <w:t xml:space="preserve">, </w:t>
      </w:r>
      <w:r w:rsidR="007C09AF" w:rsidRPr="00CA53A1">
        <w:rPr>
          <w:sz w:val="22"/>
          <w:szCs w:val="22"/>
          <w:lang w:val="en-GB"/>
        </w:rPr>
        <w:t>a merely public enforcement model is not sufficient.</w:t>
      </w:r>
      <w:r w:rsidR="00A87BA8" w:rsidRPr="00A87BA8">
        <w:rPr>
          <w:sz w:val="24"/>
          <w:szCs w:val="24"/>
          <w:lang w:val="en-GB"/>
        </w:rPr>
        <w:t xml:space="preserve"> </w:t>
      </w:r>
      <w:r w:rsidR="00A87BA8" w:rsidRPr="00A87BA8">
        <w:rPr>
          <w:sz w:val="22"/>
          <w:szCs w:val="22"/>
          <w:lang w:val="en-GB"/>
        </w:rPr>
        <w:t>This is firstly because there is the risk that certain unfair conducts may not be addressed by public regulators. Secondly, the investigative powers of Supervisory Authorities may vary between Member States</w:t>
      </w:r>
      <w:r w:rsidR="000C5BF9" w:rsidRPr="00CA53A1">
        <w:rPr>
          <w:sz w:val="22"/>
          <w:szCs w:val="22"/>
          <w:lang w:val="en-GB"/>
        </w:rPr>
        <w:t>.</w:t>
      </w:r>
      <w:r w:rsidR="00C4328E" w:rsidRPr="00CA53A1">
        <w:rPr>
          <w:rStyle w:val="Rimandonotaapidipagina"/>
          <w:sz w:val="22"/>
          <w:szCs w:val="22"/>
          <w:lang w:val="en-GB"/>
        </w:rPr>
        <w:footnoteReference w:id="15"/>
      </w:r>
      <w:r w:rsidR="000C5BF9" w:rsidRPr="00CA53A1">
        <w:rPr>
          <w:sz w:val="22"/>
          <w:szCs w:val="22"/>
          <w:lang w:val="en-GB"/>
        </w:rPr>
        <w:t xml:space="preserve"> In order to enforce compliance with the GDPR, Supervisory Authorities</w:t>
      </w:r>
      <w:r w:rsidR="00C7019F" w:rsidRPr="00CA53A1">
        <w:rPr>
          <w:sz w:val="22"/>
          <w:szCs w:val="22"/>
          <w:lang w:val="en-GB"/>
        </w:rPr>
        <w:t xml:space="preserve"> are </w:t>
      </w:r>
      <w:r w:rsidR="00A87BA8">
        <w:rPr>
          <w:sz w:val="22"/>
          <w:szCs w:val="22"/>
          <w:lang w:val="en-GB"/>
        </w:rPr>
        <w:t>equipped</w:t>
      </w:r>
      <w:r w:rsidR="00C7019F" w:rsidRPr="00CA53A1">
        <w:rPr>
          <w:sz w:val="22"/>
          <w:szCs w:val="22"/>
          <w:lang w:val="en-GB"/>
        </w:rPr>
        <w:t xml:space="preserve"> with</w:t>
      </w:r>
      <w:r w:rsidR="000C5BF9" w:rsidRPr="00CA53A1">
        <w:rPr>
          <w:sz w:val="22"/>
          <w:szCs w:val="22"/>
          <w:lang w:val="en-GB"/>
        </w:rPr>
        <w:t xml:space="preserve"> corrective powers and c</w:t>
      </w:r>
      <w:r w:rsidR="0026387F" w:rsidRPr="00CA53A1">
        <w:rPr>
          <w:sz w:val="22"/>
          <w:szCs w:val="22"/>
          <w:lang w:val="en-GB"/>
        </w:rPr>
        <w:t xml:space="preserve">an impose administrative fines, </w:t>
      </w:r>
      <w:r w:rsidR="00B27B5B">
        <w:rPr>
          <w:sz w:val="22"/>
          <w:szCs w:val="22"/>
          <w:lang w:val="en-GB"/>
        </w:rPr>
        <w:t xml:space="preserve">depending </w:t>
      </w:r>
      <w:r w:rsidR="0026387F" w:rsidRPr="00CA53A1">
        <w:rPr>
          <w:sz w:val="22"/>
          <w:szCs w:val="22"/>
          <w:lang w:val="en-GB"/>
        </w:rPr>
        <w:t>to the nature of the infringement</w:t>
      </w:r>
      <w:r w:rsidR="00583167" w:rsidRPr="00CA53A1">
        <w:rPr>
          <w:sz w:val="22"/>
          <w:szCs w:val="22"/>
          <w:lang w:val="en-GB"/>
        </w:rPr>
        <w:t>.</w:t>
      </w:r>
      <w:r w:rsidR="00C4328E" w:rsidRPr="00CA53A1">
        <w:rPr>
          <w:rStyle w:val="Rimandonotaapidipagina"/>
          <w:sz w:val="22"/>
          <w:szCs w:val="22"/>
          <w:lang w:val="en-GB"/>
        </w:rPr>
        <w:footnoteReference w:id="16"/>
      </w:r>
      <w:r w:rsidR="00583167" w:rsidRPr="00CA53A1">
        <w:rPr>
          <w:sz w:val="22"/>
          <w:szCs w:val="22"/>
          <w:lang w:val="en-GB"/>
        </w:rPr>
        <w:t xml:space="preserve"> </w:t>
      </w:r>
      <w:r w:rsidR="00A87BA8" w:rsidRPr="00A87BA8">
        <w:rPr>
          <w:sz w:val="22"/>
          <w:szCs w:val="22"/>
          <w:lang w:val="en-GB"/>
        </w:rPr>
        <w:t>While these sanctions certainly do have a strong dissuasive effect, they need to be accompanied by civil redress and judicial remedies.</w:t>
      </w:r>
    </w:p>
    <w:p w14:paraId="7AC7004F" w14:textId="0163105D" w:rsidR="00C7019F" w:rsidRPr="00CA53A1" w:rsidRDefault="00A87BA8" w:rsidP="00621335">
      <w:pPr>
        <w:spacing w:after="120"/>
        <w:ind w:firstLine="709"/>
        <w:jc w:val="both"/>
        <w:rPr>
          <w:sz w:val="22"/>
          <w:szCs w:val="22"/>
          <w:lang w:val="en-GB"/>
        </w:rPr>
      </w:pPr>
      <w:r w:rsidRPr="00A87BA8">
        <w:rPr>
          <w:sz w:val="22"/>
          <w:szCs w:val="22"/>
          <w:lang w:val="en-GB"/>
        </w:rPr>
        <w:t>It is</w:t>
      </w:r>
      <w:r w:rsidR="00B27B5B">
        <w:rPr>
          <w:sz w:val="22"/>
          <w:szCs w:val="22"/>
          <w:lang w:val="en-GB"/>
        </w:rPr>
        <w:t xml:space="preserve"> </w:t>
      </w:r>
      <w:r w:rsidR="00220C73">
        <w:rPr>
          <w:sz w:val="22"/>
          <w:szCs w:val="22"/>
          <w:lang w:val="en-GB"/>
        </w:rPr>
        <w:t>widely accepted</w:t>
      </w:r>
      <w:r w:rsidR="00B27B5B">
        <w:rPr>
          <w:sz w:val="22"/>
          <w:szCs w:val="22"/>
          <w:lang w:val="en-GB"/>
        </w:rPr>
        <w:t xml:space="preserve"> that </w:t>
      </w:r>
      <w:r w:rsidR="00995897">
        <w:rPr>
          <w:sz w:val="22"/>
          <w:szCs w:val="22"/>
          <w:lang w:val="en-GB"/>
        </w:rPr>
        <w:t>p</w:t>
      </w:r>
      <w:r w:rsidRPr="00A87BA8">
        <w:rPr>
          <w:sz w:val="22"/>
          <w:szCs w:val="22"/>
          <w:lang w:val="en-GB"/>
        </w:rPr>
        <w:t xml:space="preserve">ublic enforcement fails to provide data subjects with fair compensation when their rights are infringed. In its defense, public enforcement requires huge outlays of public expenditure and time. </w:t>
      </w:r>
      <w:r w:rsidR="008A20FF">
        <w:rPr>
          <w:sz w:val="22"/>
          <w:szCs w:val="22"/>
          <w:lang w:val="en-GB"/>
        </w:rPr>
        <w:t>Moreover,</w:t>
      </w:r>
      <w:r w:rsidRPr="00A87BA8">
        <w:rPr>
          <w:sz w:val="22"/>
          <w:szCs w:val="22"/>
          <w:lang w:val="en-GB"/>
        </w:rPr>
        <w:t xml:space="preserve"> regulation cannot be totally comprehensive, especially in this field as Information and Communication Technologies (ICTs) are changing at a faster and faster pace. Although EU law provisions attempt to be </w:t>
      </w:r>
      <w:r w:rsidR="00AF7835" w:rsidRPr="00CA53A1">
        <w:rPr>
          <w:sz w:val="22"/>
          <w:szCs w:val="22"/>
          <w:lang w:val="en-GB"/>
        </w:rPr>
        <w:t xml:space="preserve">technologically neutral, </w:t>
      </w:r>
      <w:r w:rsidRPr="00A87BA8">
        <w:rPr>
          <w:sz w:val="22"/>
          <w:szCs w:val="22"/>
          <w:lang w:val="en-GB"/>
        </w:rPr>
        <w:t>the globalized and interconnected world constantly poses new challenges. Hence, an efficient private enforcement system should be designed to complement t</w:t>
      </w:r>
      <w:r w:rsidR="00B27B5B">
        <w:rPr>
          <w:sz w:val="22"/>
          <w:szCs w:val="22"/>
          <w:lang w:val="en-GB"/>
        </w:rPr>
        <w:t xml:space="preserve">he public enforcement sphere in order to deal </w:t>
      </w:r>
      <w:r w:rsidRPr="00A87BA8">
        <w:rPr>
          <w:sz w:val="22"/>
          <w:szCs w:val="22"/>
          <w:lang w:val="en-GB"/>
        </w:rPr>
        <w:t>with mass violations of data protection rights. Given that data users are generally consumers of digital services, in developing the private enforcement system it may be helpful to consider the close ties between data protection and consumer law, as group litigation has already been used in the latter.</w:t>
      </w:r>
      <w:r>
        <w:rPr>
          <w:sz w:val="22"/>
          <w:szCs w:val="22"/>
          <w:lang w:val="en-GB"/>
        </w:rPr>
        <w:t xml:space="preserve"> </w:t>
      </w:r>
    </w:p>
    <w:p w14:paraId="5CB1D04B" w14:textId="4F0F393E" w:rsidR="00995897" w:rsidRPr="00995897" w:rsidRDefault="00995897" w:rsidP="00995897">
      <w:pPr>
        <w:spacing w:after="120"/>
        <w:ind w:firstLine="709"/>
        <w:jc w:val="both"/>
        <w:rPr>
          <w:sz w:val="22"/>
          <w:szCs w:val="22"/>
          <w:lang w:val="en-GB"/>
        </w:rPr>
      </w:pPr>
      <w:r w:rsidRPr="00995897">
        <w:rPr>
          <w:sz w:val="22"/>
          <w:szCs w:val="22"/>
          <w:lang w:val="en-GB"/>
        </w:rPr>
        <w:t>The paper therefore assesses whether and how collective litigation can be used in the field of data protection law. The analysis focuses on article 80 G</w:t>
      </w:r>
      <w:r w:rsidR="00784670">
        <w:rPr>
          <w:sz w:val="22"/>
          <w:szCs w:val="22"/>
          <w:lang w:val="en-GB"/>
        </w:rPr>
        <w:t>DPR (Representation of data subjects</w:t>
      </w:r>
      <w:r w:rsidRPr="00995897">
        <w:rPr>
          <w:sz w:val="22"/>
          <w:szCs w:val="22"/>
          <w:lang w:val="en-GB"/>
        </w:rPr>
        <w:t xml:space="preserve">) and the new </w:t>
      </w:r>
      <w:r w:rsidR="00C44431">
        <w:rPr>
          <w:sz w:val="22"/>
          <w:szCs w:val="22"/>
          <w:lang w:val="en-GB"/>
        </w:rPr>
        <w:t xml:space="preserve">Directive (EU) </w:t>
      </w:r>
      <w:r w:rsidRPr="00995897">
        <w:rPr>
          <w:sz w:val="22"/>
          <w:szCs w:val="22"/>
          <w:lang w:val="en-GB"/>
        </w:rPr>
        <w:t>2020/1828 on representative actions for the collective interests of consumers. Its aim is to address the following questions</w:t>
      </w:r>
      <w:r w:rsidRPr="00995897">
        <w:rPr>
          <w:i/>
          <w:sz w:val="22"/>
          <w:szCs w:val="22"/>
          <w:lang w:val="en-GB"/>
        </w:rPr>
        <w:t>: i)</w:t>
      </w:r>
      <w:r w:rsidRPr="00995897">
        <w:rPr>
          <w:sz w:val="22"/>
          <w:szCs w:val="22"/>
          <w:lang w:val="en-GB"/>
        </w:rPr>
        <w:t xml:space="preserve"> Is there a legal basis in the GDPR for private enforcement remedies such as group actions? </w:t>
      </w:r>
      <w:r w:rsidRPr="00995897">
        <w:rPr>
          <w:i/>
          <w:sz w:val="22"/>
          <w:szCs w:val="22"/>
          <w:lang w:val="en-GB"/>
        </w:rPr>
        <w:t xml:space="preserve">ii) </w:t>
      </w:r>
      <w:r w:rsidRPr="00995897">
        <w:rPr>
          <w:sz w:val="22"/>
          <w:szCs w:val="22"/>
          <w:lang w:val="en-GB"/>
        </w:rPr>
        <w:t>Can consumer law tools be used for collective actions in the field of data protection?</w:t>
      </w:r>
      <w:r w:rsidRPr="00995897">
        <w:rPr>
          <w:i/>
          <w:sz w:val="22"/>
          <w:szCs w:val="22"/>
          <w:lang w:val="en-GB"/>
        </w:rPr>
        <w:t xml:space="preserve"> </w:t>
      </w:r>
    </w:p>
    <w:p w14:paraId="1F711F5D" w14:textId="6F053DFB" w:rsidR="00173E73" w:rsidRPr="00CA53A1" w:rsidRDefault="00173E73" w:rsidP="00235CF6">
      <w:pPr>
        <w:spacing w:after="120"/>
        <w:ind w:firstLine="709"/>
        <w:jc w:val="both"/>
        <w:rPr>
          <w:sz w:val="22"/>
          <w:szCs w:val="22"/>
          <w:lang w:val="en-US"/>
        </w:rPr>
      </w:pPr>
      <w:r w:rsidRPr="00CA53A1">
        <w:rPr>
          <w:sz w:val="22"/>
          <w:szCs w:val="22"/>
          <w:lang w:val="en-GB"/>
        </w:rPr>
        <w:t>The</w:t>
      </w:r>
      <w:r w:rsidR="00995897">
        <w:rPr>
          <w:sz w:val="22"/>
          <w:szCs w:val="22"/>
          <w:lang w:val="en-GB"/>
        </w:rPr>
        <w:t xml:space="preserve"> paper</w:t>
      </w:r>
      <w:r w:rsidRPr="00CA53A1">
        <w:rPr>
          <w:sz w:val="22"/>
          <w:szCs w:val="22"/>
          <w:lang w:val="en-GB"/>
        </w:rPr>
        <w:t xml:space="preserve"> </w:t>
      </w:r>
      <w:r w:rsidR="00C54FFA" w:rsidRPr="00CA53A1">
        <w:rPr>
          <w:sz w:val="22"/>
          <w:szCs w:val="22"/>
          <w:lang w:val="en-GB"/>
        </w:rPr>
        <w:t xml:space="preserve">is structured as </w:t>
      </w:r>
      <w:r w:rsidR="00B27B5B">
        <w:rPr>
          <w:sz w:val="22"/>
          <w:szCs w:val="22"/>
          <w:lang w:val="en-GB"/>
        </w:rPr>
        <w:t>follows: after</w:t>
      </w:r>
      <w:r w:rsidR="00995897">
        <w:rPr>
          <w:sz w:val="22"/>
          <w:szCs w:val="22"/>
          <w:lang w:val="en-GB"/>
        </w:rPr>
        <w:t xml:space="preserve"> this brief introduction, </w:t>
      </w:r>
      <w:r w:rsidR="009C6D81">
        <w:rPr>
          <w:sz w:val="22"/>
          <w:szCs w:val="22"/>
          <w:lang w:val="en-GB"/>
        </w:rPr>
        <w:t>C</w:t>
      </w:r>
      <w:r w:rsidR="006665E0">
        <w:rPr>
          <w:sz w:val="22"/>
          <w:szCs w:val="22"/>
          <w:lang w:val="en-GB"/>
        </w:rPr>
        <w:t>hapter 1 and 2</w:t>
      </w:r>
      <w:r w:rsidR="00A35A35" w:rsidRPr="00CA53A1">
        <w:rPr>
          <w:sz w:val="22"/>
          <w:szCs w:val="22"/>
          <w:lang w:val="en-GB"/>
        </w:rPr>
        <w:t xml:space="preserve"> </w:t>
      </w:r>
      <w:r w:rsidR="00995897">
        <w:rPr>
          <w:sz w:val="22"/>
          <w:szCs w:val="22"/>
          <w:lang w:val="en-GB"/>
        </w:rPr>
        <w:t xml:space="preserve">investigate </w:t>
      </w:r>
      <w:r w:rsidR="0083469D" w:rsidRPr="00CA53A1">
        <w:rPr>
          <w:sz w:val="22"/>
          <w:szCs w:val="22"/>
          <w:lang w:val="en-GB"/>
        </w:rPr>
        <w:t xml:space="preserve">the features of article </w:t>
      </w:r>
      <w:r w:rsidRPr="00CA53A1">
        <w:rPr>
          <w:sz w:val="22"/>
          <w:szCs w:val="22"/>
          <w:lang w:val="en-GB"/>
        </w:rPr>
        <w:t xml:space="preserve">80 GDPR to ascertain whether </w:t>
      </w:r>
      <w:r w:rsidR="003F3493" w:rsidRPr="00CA53A1">
        <w:rPr>
          <w:sz w:val="22"/>
          <w:szCs w:val="22"/>
          <w:lang w:val="en-GB"/>
        </w:rPr>
        <w:t xml:space="preserve">article 80 </w:t>
      </w:r>
      <w:r w:rsidR="00995897">
        <w:rPr>
          <w:sz w:val="22"/>
          <w:szCs w:val="22"/>
          <w:lang w:val="en-GB"/>
        </w:rPr>
        <w:t>could constitute</w:t>
      </w:r>
      <w:r w:rsidR="00885A44" w:rsidRPr="00CA53A1">
        <w:rPr>
          <w:sz w:val="22"/>
          <w:szCs w:val="22"/>
          <w:lang w:val="en-GB"/>
        </w:rPr>
        <w:t xml:space="preserve"> a legal basis </w:t>
      </w:r>
      <w:r w:rsidR="00C00672" w:rsidRPr="00CA53A1">
        <w:rPr>
          <w:sz w:val="22"/>
          <w:szCs w:val="22"/>
          <w:lang w:val="en-GB"/>
        </w:rPr>
        <w:t xml:space="preserve">both for </w:t>
      </w:r>
      <w:r w:rsidR="00F66807" w:rsidRPr="00CA53A1">
        <w:rPr>
          <w:sz w:val="22"/>
          <w:szCs w:val="22"/>
          <w:lang w:val="en-GB"/>
        </w:rPr>
        <w:t xml:space="preserve">collective </w:t>
      </w:r>
      <w:r w:rsidR="00C00672" w:rsidRPr="00CA53A1">
        <w:rPr>
          <w:sz w:val="22"/>
          <w:szCs w:val="22"/>
          <w:lang w:val="en-GB"/>
        </w:rPr>
        <w:t xml:space="preserve">injunctive and </w:t>
      </w:r>
      <w:r w:rsidR="003F3493" w:rsidRPr="00CA53A1">
        <w:rPr>
          <w:sz w:val="22"/>
          <w:szCs w:val="22"/>
          <w:lang w:val="en-GB"/>
        </w:rPr>
        <w:t xml:space="preserve">compensatory </w:t>
      </w:r>
      <w:r w:rsidR="00C00672" w:rsidRPr="00CA53A1">
        <w:rPr>
          <w:sz w:val="22"/>
          <w:szCs w:val="22"/>
          <w:lang w:val="en-GB"/>
        </w:rPr>
        <w:t>measures</w:t>
      </w:r>
      <w:r w:rsidR="00C54FFA" w:rsidRPr="00CA53A1">
        <w:rPr>
          <w:sz w:val="22"/>
          <w:szCs w:val="22"/>
          <w:lang w:val="en-GB"/>
        </w:rPr>
        <w:t xml:space="preserve">. </w:t>
      </w:r>
      <w:r w:rsidR="003A3712">
        <w:rPr>
          <w:sz w:val="22"/>
          <w:szCs w:val="22"/>
          <w:lang w:val="en-GB"/>
        </w:rPr>
        <w:t>Chapter 3</w:t>
      </w:r>
      <w:r w:rsidR="00995897">
        <w:rPr>
          <w:sz w:val="22"/>
          <w:szCs w:val="22"/>
          <w:lang w:val="en-GB"/>
        </w:rPr>
        <w:t xml:space="preserve"> reviews </w:t>
      </w:r>
      <w:r w:rsidR="007F3D67" w:rsidRPr="00CA53A1">
        <w:rPr>
          <w:sz w:val="22"/>
          <w:szCs w:val="22"/>
          <w:lang w:val="en-GB"/>
        </w:rPr>
        <w:t xml:space="preserve">a recent judgment of the European Court of Justice (hereinafter: </w:t>
      </w:r>
      <w:r w:rsidR="00394C6C">
        <w:rPr>
          <w:sz w:val="22"/>
          <w:szCs w:val="22"/>
          <w:lang w:val="en-GB"/>
        </w:rPr>
        <w:t>ECJ</w:t>
      </w:r>
      <w:r w:rsidR="007F3D67" w:rsidRPr="00CA53A1">
        <w:rPr>
          <w:sz w:val="22"/>
          <w:szCs w:val="22"/>
          <w:lang w:val="en-GB"/>
        </w:rPr>
        <w:t xml:space="preserve">), case </w:t>
      </w:r>
      <w:r w:rsidR="007F3D67" w:rsidRPr="00CA53A1">
        <w:rPr>
          <w:sz w:val="22"/>
          <w:szCs w:val="22"/>
          <w:lang w:val="en-US"/>
        </w:rPr>
        <w:t xml:space="preserve">C-319/20, </w:t>
      </w:r>
      <w:r w:rsidR="007F3D67" w:rsidRPr="00CA53A1">
        <w:rPr>
          <w:i/>
          <w:sz w:val="22"/>
          <w:szCs w:val="22"/>
          <w:lang w:val="en-US"/>
        </w:rPr>
        <w:t xml:space="preserve">Meta Platforms Ireland Ltd. v. Bundesverband der Verbraucherzentralen </w:t>
      </w:r>
      <w:r w:rsidR="007F3D67" w:rsidRPr="00CA53A1">
        <w:rPr>
          <w:i/>
          <w:sz w:val="22"/>
          <w:szCs w:val="22"/>
          <w:lang w:val="en-US"/>
        </w:rPr>
        <w:lastRenderedPageBreak/>
        <w:t xml:space="preserve">und Verbraucherverbände – Verbraucherzentrale Bundesverband e.V. </w:t>
      </w:r>
      <w:r w:rsidR="007F3D67" w:rsidRPr="00CA53A1">
        <w:rPr>
          <w:sz w:val="22"/>
          <w:szCs w:val="22"/>
          <w:lang w:val="en-US"/>
        </w:rPr>
        <w:t>(Federal Union of Consumer Organisations and Associat</w:t>
      </w:r>
      <w:r w:rsidR="009A4A87" w:rsidRPr="00CA53A1">
        <w:rPr>
          <w:sz w:val="22"/>
          <w:szCs w:val="22"/>
          <w:lang w:val="en-US"/>
        </w:rPr>
        <w:t>ions of Germany</w:t>
      </w:r>
      <w:r w:rsidR="00BC51A3" w:rsidRPr="00CA53A1">
        <w:rPr>
          <w:sz w:val="22"/>
          <w:szCs w:val="22"/>
          <w:lang w:val="en-US"/>
        </w:rPr>
        <w:t>, hereinafter: the Federal Union</w:t>
      </w:r>
      <w:r w:rsidR="007F3D67" w:rsidRPr="00CA53A1">
        <w:rPr>
          <w:sz w:val="22"/>
          <w:szCs w:val="22"/>
          <w:lang w:val="en-US"/>
        </w:rPr>
        <w:t>)</w:t>
      </w:r>
      <w:r w:rsidR="007F3D67" w:rsidRPr="00CA53A1">
        <w:rPr>
          <w:i/>
          <w:sz w:val="22"/>
          <w:szCs w:val="22"/>
          <w:lang w:val="en-US"/>
        </w:rPr>
        <w:t xml:space="preserve"> </w:t>
      </w:r>
      <w:r w:rsidR="007F3D67" w:rsidRPr="00CA53A1">
        <w:rPr>
          <w:sz w:val="22"/>
          <w:szCs w:val="22"/>
          <w:lang w:val="en-US"/>
        </w:rPr>
        <w:t>published on April 28</w:t>
      </w:r>
      <w:r w:rsidR="00960C4A" w:rsidRPr="00CA53A1">
        <w:rPr>
          <w:sz w:val="22"/>
          <w:szCs w:val="22"/>
          <w:lang w:val="en-US"/>
        </w:rPr>
        <w:t>, 2</w:t>
      </w:r>
      <w:r w:rsidR="007F3D67" w:rsidRPr="00CA53A1">
        <w:rPr>
          <w:sz w:val="22"/>
          <w:szCs w:val="22"/>
          <w:lang w:val="en-US"/>
        </w:rPr>
        <w:t>022</w:t>
      </w:r>
      <w:r w:rsidR="00394C6C">
        <w:rPr>
          <w:sz w:val="22"/>
          <w:szCs w:val="22"/>
          <w:lang w:val="en-US"/>
        </w:rPr>
        <w:t>, where the ECJ</w:t>
      </w:r>
      <w:r w:rsidR="00041950">
        <w:rPr>
          <w:sz w:val="22"/>
          <w:szCs w:val="22"/>
          <w:lang w:val="en-US"/>
        </w:rPr>
        <w:t xml:space="preserve"> </w:t>
      </w:r>
      <w:r w:rsidR="007A402C">
        <w:rPr>
          <w:sz w:val="22"/>
          <w:szCs w:val="22"/>
          <w:lang w:val="en-US"/>
        </w:rPr>
        <w:t xml:space="preserve">allowed for a collective </w:t>
      </w:r>
      <w:r w:rsidR="00041950">
        <w:rPr>
          <w:sz w:val="22"/>
          <w:szCs w:val="22"/>
          <w:lang w:val="en-US"/>
        </w:rPr>
        <w:t xml:space="preserve">action </w:t>
      </w:r>
      <w:r w:rsidR="007A402C">
        <w:rPr>
          <w:sz w:val="22"/>
          <w:szCs w:val="22"/>
          <w:lang w:val="en-US"/>
        </w:rPr>
        <w:t xml:space="preserve">started </w:t>
      </w:r>
      <w:r w:rsidR="00041950">
        <w:rPr>
          <w:sz w:val="22"/>
          <w:szCs w:val="22"/>
          <w:lang w:val="en-US"/>
        </w:rPr>
        <w:t>by a consumer association on behalf of a plurality of data subjects</w:t>
      </w:r>
      <w:r w:rsidR="007F3D67" w:rsidRPr="00CA53A1">
        <w:rPr>
          <w:sz w:val="22"/>
          <w:szCs w:val="22"/>
          <w:lang w:val="en-US"/>
        </w:rPr>
        <w:t>.</w:t>
      </w:r>
      <w:r w:rsidR="00C4328E" w:rsidRPr="00CA53A1">
        <w:rPr>
          <w:rStyle w:val="Rimandonotaapidipagina"/>
          <w:sz w:val="22"/>
          <w:szCs w:val="22"/>
          <w:lang w:val="en-US"/>
        </w:rPr>
        <w:footnoteReference w:id="17"/>
      </w:r>
      <w:r w:rsidR="00C7019F" w:rsidRPr="00CA53A1">
        <w:rPr>
          <w:sz w:val="22"/>
          <w:szCs w:val="22"/>
          <w:lang w:val="en-US"/>
        </w:rPr>
        <w:t xml:space="preserve"> </w:t>
      </w:r>
      <w:r w:rsidR="007C71B7" w:rsidRPr="00CA53A1">
        <w:rPr>
          <w:sz w:val="22"/>
          <w:szCs w:val="22"/>
          <w:lang w:val="en-GB"/>
        </w:rPr>
        <w:t xml:space="preserve">In </w:t>
      </w:r>
      <w:r w:rsidR="009C6D81">
        <w:rPr>
          <w:sz w:val="22"/>
          <w:szCs w:val="22"/>
          <w:lang w:val="en-GB"/>
        </w:rPr>
        <w:t>Chapters 4, 5 and 6</w:t>
      </w:r>
      <w:r w:rsidR="004540D7" w:rsidRPr="00CA53A1">
        <w:rPr>
          <w:sz w:val="22"/>
          <w:szCs w:val="22"/>
          <w:lang w:val="en-GB"/>
        </w:rPr>
        <w:t xml:space="preserve">, </w:t>
      </w:r>
      <w:r w:rsidR="0025236A">
        <w:rPr>
          <w:sz w:val="22"/>
          <w:szCs w:val="22"/>
          <w:lang w:val="en-GB"/>
        </w:rPr>
        <w:t>it turns to</w:t>
      </w:r>
      <w:r w:rsidR="00181668" w:rsidRPr="00CA53A1">
        <w:rPr>
          <w:sz w:val="22"/>
          <w:szCs w:val="22"/>
          <w:lang w:val="en-GB"/>
        </w:rPr>
        <w:t xml:space="preserve"> </w:t>
      </w:r>
      <w:r w:rsidRPr="00CA53A1">
        <w:rPr>
          <w:sz w:val="22"/>
          <w:szCs w:val="22"/>
          <w:lang w:val="en-GB"/>
        </w:rPr>
        <w:t>the collectiv</w:t>
      </w:r>
      <w:r w:rsidR="0042321B" w:rsidRPr="00CA53A1">
        <w:rPr>
          <w:sz w:val="22"/>
          <w:szCs w:val="22"/>
          <w:lang w:val="en-GB"/>
        </w:rPr>
        <w:t>e dimension of data protection</w:t>
      </w:r>
      <w:r w:rsidR="00181668" w:rsidRPr="00CA53A1">
        <w:rPr>
          <w:sz w:val="22"/>
          <w:szCs w:val="22"/>
          <w:lang w:val="en-GB"/>
        </w:rPr>
        <w:t xml:space="preserve">, </w:t>
      </w:r>
      <w:r w:rsidRPr="00CA53A1">
        <w:rPr>
          <w:sz w:val="22"/>
          <w:szCs w:val="22"/>
          <w:lang w:val="en-GB"/>
        </w:rPr>
        <w:t>look</w:t>
      </w:r>
      <w:r w:rsidR="00181668" w:rsidRPr="00CA53A1">
        <w:rPr>
          <w:sz w:val="22"/>
          <w:szCs w:val="22"/>
          <w:lang w:val="en-GB"/>
        </w:rPr>
        <w:t>ing</w:t>
      </w:r>
      <w:r w:rsidRPr="00CA53A1">
        <w:rPr>
          <w:sz w:val="22"/>
          <w:szCs w:val="22"/>
          <w:lang w:val="en-GB"/>
        </w:rPr>
        <w:t xml:space="preserve"> at the relationship between data protection and consumer law, </w:t>
      </w:r>
      <w:r w:rsidR="0042321B" w:rsidRPr="00CA53A1">
        <w:rPr>
          <w:sz w:val="22"/>
          <w:szCs w:val="22"/>
          <w:lang w:val="en-GB"/>
        </w:rPr>
        <w:t>with special</w:t>
      </w:r>
      <w:r w:rsidR="00C54FFA" w:rsidRPr="00CA53A1">
        <w:rPr>
          <w:sz w:val="22"/>
          <w:szCs w:val="22"/>
          <w:lang w:val="en-GB"/>
        </w:rPr>
        <w:t xml:space="preserve"> reference to </w:t>
      </w:r>
      <w:r w:rsidR="00C44431" w:rsidRPr="00C44431">
        <w:rPr>
          <w:sz w:val="22"/>
          <w:szCs w:val="22"/>
          <w:lang w:val="en-GB"/>
        </w:rPr>
        <w:t>Dir</w:t>
      </w:r>
      <w:r w:rsidR="00C44431">
        <w:rPr>
          <w:sz w:val="22"/>
          <w:szCs w:val="22"/>
          <w:lang w:val="en-GB"/>
        </w:rPr>
        <w:t>ective</w:t>
      </w:r>
      <w:r w:rsidR="00C44431" w:rsidRPr="00C44431">
        <w:rPr>
          <w:sz w:val="22"/>
          <w:szCs w:val="22"/>
          <w:lang w:val="en-GB"/>
        </w:rPr>
        <w:t xml:space="preserve"> (EU) 2020/1828</w:t>
      </w:r>
      <w:r w:rsidR="00F66807" w:rsidRPr="00CA53A1">
        <w:rPr>
          <w:sz w:val="22"/>
          <w:szCs w:val="22"/>
          <w:lang w:val="en-GB"/>
        </w:rPr>
        <w:t>.</w:t>
      </w:r>
      <w:r w:rsidR="00C7019F" w:rsidRPr="00CA53A1">
        <w:rPr>
          <w:sz w:val="22"/>
          <w:szCs w:val="22"/>
          <w:lang w:val="en-US"/>
        </w:rPr>
        <w:t xml:space="preserve"> </w:t>
      </w:r>
      <w:r w:rsidR="001435FC" w:rsidRPr="00CA53A1">
        <w:rPr>
          <w:sz w:val="22"/>
          <w:szCs w:val="22"/>
          <w:lang w:val="en-US"/>
        </w:rPr>
        <w:t xml:space="preserve">In </w:t>
      </w:r>
      <w:r w:rsidR="009C6D81">
        <w:rPr>
          <w:sz w:val="22"/>
          <w:szCs w:val="22"/>
          <w:lang w:val="en-US"/>
        </w:rPr>
        <w:t>Chapter 7</w:t>
      </w:r>
      <w:r w:rsidR="001435FC" w:rsidRPr="00CA53A1">
        <w:rPr>
          <w:sz w:val="22"/>
          <w:szCs w:val="22"/>
          <w:lang w:val="en-US"/>
        </w:rPr>
        <w:t xml:space="preserve">, </w:t>
      </w:r>
      <w:r w:rsidR="0025236A" w:rsidRPr="0025236A">
        <w:rPr>
          <w:sz w:val="22"/>
          <w:szCs w:val="22"/>
          <w:lang w:val="en-US"/>
        </w:rPr>
        <w:t>the paper addresses some concerns regarding compensatory actions. Finally, some future perspectives on the enforcement of EU data protection law are highlighted, and a conclusion drawn</w:t>
      </w:r>
      <w:r w:rsidR="0025236A">
        <w:rPr>
          <w:sz w:val="22"/>
          <w:szCs w:val="22"/>
          <w:lang w:val="en-US"/>
        </w:rPr>
        <w:t>.</w:t>
      </w:r>
    </w:p>
    <w:p w14:paraId="13046FA4" w14:textId="77777777" w:rsidR="004E5978" w:rsidRPr="00CA53A1" w:rsidRDefault="004E5978" w:rsidP="00294D03">
      <w:pPr>
        <w:jc w:val="both"/>
        <w:rPr>
          <w:sz w:val="22"/>
          <w:szCs w:val="22"/>
          <w:lang w:val="en-GB"/>
        </w:rPr>
      </w:pPr>
    </w:p>
    <w:p w14:paraId="7C56E828" w14:textId="5FB791D5" w:rsidR="00BF3B1A" w:rsidRPr="00CA53A1" w:rsidRDefault="00867F97" w:rsidP="00294D03">
      <w:pPr>
        <w:jc w:val="both"/>
        <w:rPr>
          <w:b/>
          <w:sz w:val="22"/>
          <w:szCs w:val="22"/>
          <w:lang w:val="en-GB"/>
        </w:rPr>
      </w:pPr>
      <w:r>
        <w:rPr>
          <w:b/>
          <w:sz w:val="22"/>
          <w:szCs w:val="22"/>
          <w:lang w:val="en-GB"/>
        </w:rPr>
        <w:t>II</w:t>
      </w:r>
      <w:r w:rsidR="00173E73" w:rsidRPr="00CA53A1">
        <w:rPr>
          <w:b/>
          <w:sz w:val="22"/>
          <w:szCs w:val="22"/>
          <w:lang w:val="en-GB"/>
        </w:rPr>
        <w:t xml:space="preserve">. </w:t>
      </w:r>
      <w:r>
        <w:rPr>
          <w:b/>
          <w:sz w:val="22"/>
          <w:szCs w:val="22"/>
          <w:lang w:val="en-GB"/>
        </w:rPr>
        <w:t xml:space="preserve">Chapter 1 </w:t>
      </w:r>
      <w:r w:rsidR="00173E73" w:rsidRPr="00CA53A1">
        <w:rPr>
          <w:b/>
          <w:sz w:val="22"/>
          <w:szCs w:val="22"/>
          <w:lang w:val="en-GB"/>
        </w:rPr>
        <w:t xml:space="preserve">Private enforcement </w:t>
      </w:r>
      <w:r w:rsidR="007D444E" w:rsidRPr="00CA53A1">
        <w:rPr>
          <w:b/>
          <w:sz w:val="22"/>
          <w:szCs w:val="22"/>
          <w:lang w:val="en-GB"/>
        </w:rPr>
        <w:t xml:space="preserve">and </w:t>
      </w:r>
      <w:r w:rsidR="00173E73" w:rsidRPr="00CA53A1">
        <w:rPr>
          <w:b/>
          <w:sz w:val="22"/>
          <w:szCs w:val="22"/>
          <w:lang w:val="en-GB"/>
        </w:rPr>
        <w:t>data prot</w:t>
      </w:r>
      <w:r w:rsidR="008B7E0A" w:rsidRPr="00CA53A1">
        <w:rPr>
          <w:b/>
          <w:sz w:val="22"/>
          <w:szCs w:val="22"/>
          <w:lang w:val="en-GB"/>
        </w:rPr>
        <w:t xml:space="preserve">ection: </w:t>
      </w:r>
      <w:r w:rsidR="002F3920" w:rsidRPr="00CA53A1">
        <w:rPr>
          <w:b/>
          <w:sz w:val="22"/>
          <w:szCs w:val="22"/>
          <w:lang w:val="en-GB"/>
        </w:rPr>
        <w:t>challenges</w:t>
      </w:r>
    </w:p>
    <w:p w14:paraId="4C2274FF" w14:textId="77777777" w:rsidR="00BF3B1A" w:rsidRPr="00CA53A1" w:rsidRDefault="00BF3B1A" w:rsidP="00294D03">
      <w:pPr>
        <w:jc w:val="both"/>
        <w:rPr>
          <w:b/>
          <w:sz w:val="22"/>
          <w:szCs w:val="22"/>
          <w:lang w:val="en-GB"/>
        </w:rPr>
      </w:pPr>
    </w:p>
    <w:p w14:paraId="4B326A02" w14:textId="22E1B7F4" w:rsidR="00AF7835" w:rsidRPr="00CA53A1" w:rsidRDefault="00D33A26" w:rsidP="00621335">
      <w:pPr>
        <w:spacing w:after="120"/>
        <w:ind w:firstLine="567"/>
        <w:jc w:val="both"/>
        <w:rPr>
          <w:sz w:val="22"/>
          <w:szCs w:val="22"/>
          <w:lang w:val="en-GB"/>
        </w:rPr>
      </w:pPr>
      <w:r w:rsidRPr="00D33A26">
        <w:rPr>
          <w:sz w:val="22"/>
          <w:szCs w:val="22"/>
          <w:lang w:val="en-GB"/>
        </w:rPr>
        <w:t xml:space="preserve">The public enforcement model has always </w:t>
      </w:r>
      <w:r w:rsidR="000D3617">
        <w:rPr>
          <w:sz w:val="22"/>
          <w:szCs w:val="22"/>
          <w:lang w:val="en-GB"/>
        </w:rPr>
        <w:t>been predominant in Europe</w:t>
      </w:r>
      <w:r w:rsidRPr="00D33A26">
        <w:rPr>
          <w:sz w:val="22"/>
          <w:szCs w:val="22"/>
          <w:lang w:val="en-GB"/>
        </w:rPr>
        <w:t>, at least up to now. This is due to the fact that the EU lacks procedural law competencies, apart from measures to develop judicial cooperation in civil and commercial law matters (</w:t>
      </w:r>
      <w:r w:rsidR="00220C73">
        <w:rPr>
          <w:sz w:val="22"/>
          <w:szCs w:val="22"/>
          <w:lang w:val="en-GB"/>
        </w:rPr>
        <w:t xml:space="preserve">as provided for in </w:t>
      </w:r>
      <w:r w:rsidRPr="00D33A26">
        <w:rPr>
          <w:sz w:val="22"/>
          <w:szCs w:val="22"/>
          <w:lang w:val="en-GB"/>
        </w:rPr>
        <w:t>ar</w:t>
      </w:r>
      <w:r w:rsidR="00C44431">
        <w:rPr>
          <w:sz w:val="22"/>
          <w:szCs w:val="22"/>
          <w:lang w:val="en-GB"/>
        </w:rPr>
        <w:t xml:space="preserve">ticle </w:t>
      </w:r>
      <w:r w:rsidRPr="00D33A26">
        <w:rPr>
          <w:sz w:val="22"/>
          <w:szCs w:val="22"/>
          <w:lang w:val="en-GB"/>
        </w:rPr>
        <w:t>81</w:t>
      </w:r>
      <w:r w:rsidR="00220C73">
        <w:rPr>
          <w:sz w:val="22"/>
          <w:szCs w:val="22"/>
          <w:lang w:val="en-GB"/>
        </w:rPr>
        <w:t xml:space="preserve"> of the</w:t>
      </w:r>
      <w:r w:rsidRPr="00D33A26">
        <w:rPr>
          <w:sz w:val="22"/>
          <w:szCs w:val="22"/>
          <w:lang w:val="en-GB"/>
        </w:rPr>
        <w:t xml:space="preserve"> </w:t>
      </w:r>
      <w:r w:rsidR="00220C73">
        <w:rPr>
          <w:sz w:val="22"/>
          <w:szCs w:val="22"/>
          <w:lang w:val="en-GB"/>
        </w:rPr>
        <w:t xml:space="preserve">Treaty on the Functioning of the European Union, hereinafter: </w:t>
      </w:r>
      <w:r w:rsidRPr="00D33A26">
        <w:rPr>
          <w:sz w:val="22"/>
          <w:szCs w:val="22"/>
          <w:lang w:val="en-GB"/>
        </w:rPr>
        <w:t>TFEU). Consequently, civil procedure remedies still fall within national procedural laws. However, there is a growing trend in favour of private enforcement in consumer law matters, particularly to expand the role of the judiciary</w:t>
      </w:r>
      <w:r>
        <w:rPr>
          <w:sz w:val="22"/>
          <w:szCs w:val="22"/>
          <w:lang w:val="en-GB"/>
        </w:rPr>
        <w:t>,</w:t>
      </w:r>
      <w:r w:rsidR="00B571E0" w:rsidRPr="00CA53A1">
        <w:rPr>
          <w:rStyle w:val="Rimandonotaapidipagina"/>
          <w:sz w:val="22"/>
          <w:szCs w:val="22"/>
          <w:lang w:val="en-GB"/>
        </w:rPr>
        <w:footnoteReference w:id="18"/>
      </w:r>
      <w:r w:rsidR="00B571E0" w:rsidRPr="00CA53A1">
        <w:rPr>
          <w:sz w:val="22"/>
          <w:szCs w:val="22"/>
          <w:lang w:val="en-GB"/>
        </w:rPr>
        <w:t xml:space="preserve"> </w:t>
      </w:r>
      <w:r>
        <w:rPr>
          <w:sz w:val="22"/>
          <w:szCs w:val="22"/>
          <w:lang w:val="en-GB"/>
        </w:rPr>
        <w:t>f</w:t>
      </w:r>
      <w:r w:rsidR="00D84C22" w:rsidRPr="00CA53A1">
        <w:rPr>
          <w:sz w:val="22"/>
          <w:szCs w:val="22"/>
          <w:lang w:val="en-GB"/>
        </w:rPr>
        <w:t>or instance</w:t>
      </w:r>
      <w:r w:rsidR="00EB7106" w:rsidRPr="00CA53A1">
        <w:rPr>
          <w:sz w:val="22"/>
          <w:szCs w:val="22"/>
          <w:lang w:val="en-GB"/>
        </w:rPr>
        <w:t xml:space="preserve"> </w:t>
      </w:r>
      <w:r w:rsidR="00802244" w:rsidRPr="00CA53A1">
        <w:rPr>
          <w:sz w:val="22"/>
          <w:szCs w:val="22"/>
          <w:lang w:val="en-US"/>
        </w:rPr>
        <w:t>group litigation has</w:t>
      </w:r>
      <w:r w:rsidR="00C56C10" w:rsidRPr="00CA53A1">
        <w:rPr>
          <w:sz w:val="22"/>
          <w:szCs w:val="22"/>
          <w:lang w:val="en-US"/>
        </w:rPr>
        <w:t xml:space="preserve"> </w:t>
      </w:r>
      <w:r w:rsidR="00960C4A" w:rsidRPr="00CA53A1">
        <w:rPr>
          <w:sz w:val="22"/>
          <w:szCs w:val="22"/>
          <w:lang w:val="en-US"/>
        </w:rPr>
        <w:t xml:space="preserve">recently </w:t>
      </w:r>
      <w:r w:rsidR="00AF7835" w:rsidRPr="00CA53A1">
        <w:rPr>
          <w:sz w:val="22"/>
          <w:szCs w:val="22"/>
          <w:lang w:val="en-US"/>
        </w:rPr>
        <w:t>been re-evaluated</w:t>
      </w:r>
      <w:r w:rsidR="006A0390" w:rsidRPr="00CA53A1">
        <w:rPr>
          <w:sz w:val="22"/>
          <w:szCs w:val="22"/>
          <w:lang w:val="en-US"/>
        </w:rPr>
        <w:t>.</w:t>
      </w:r>
      <w:r w:rsidR="000F510B" w:rsidRPr="00CA53A1">
        <w:rPr>
          <w:rStyle w:val="Rimandonotaapidipagina"/>
          <w:sz w:val="22"/>
          <w:szCs w:val="22"/>
          <w:lang w:val="en-US"/>
        </w:rPr>
        <w:footnoteReference w:id="19"/>
      </w:r>
      <w:r w:rsidR="00802244" w:rsidRPr="00CA53A1">
        <w:rPr>
          <w:sz w:val="22"/>
          <w:szCs w:val="22"/>
          <w:lang w:val="en-US"/>
        </w:rPr>
        <w:t xml:space="preserve"> </w:t>
      </w:r>
      <w:r w:rsidR="00C44431" w:rsidRPr="00C44431">
        <w:rPr>
          <w:sz w:val="22"/>
          <w:szCs w:val="22"/>
          <w:lang w:val="en-GB"/>
        </w:rPr>
        <w:t>Dir</w:t>
      </w:r>
      <w:r w:rsidR="00C44431">
        <w:rPr>
          <w:sz w:val="22"/>
          <w:szCs w:val="22"/>
          <w:lang w:val="en-GB"/>
        </w:rPr>
        <w:t>ective</w:t>
      </w:r>
      <w:r w:rsidR="00C44431" w:rsidRPr="00C44431">
        <w:rPr>
          <w:sz w:val="22"/>
          <w:szCs w:val="22"/>
          <w:lang w:val="en-GB"/>
        </w:rPr>
        <w:t xml:space="preserve"> (EU) 2020/1828</w:t>
      </w:r>
      <w:r w:rsidR="00731ECC" w:rsidRPr="00CA53A1">
        <w:rPr>
          <w:rStyle w:val="Rimandonotaapidipagina"/>
          <w:sz w:val="22"/>
          <w:szCs w:val="22"/>
          <w:lang w:val="en-US"/>
        </w:rPr>
        <w:footnoteReference w:id="20"/>
      </w:r>
      <w:r w:rsidR="00782C4B" w:rsidRPr="00CA53A1">
        <w:rPr>
          <w:sz w:val="22"/>
          <w:szCs w:val="22"/>
          <w:lang w:val="en-US"/>
        </w:rPr>
        <w:t xml:space="preserve"> (part of the </w:t>
      </w:r>
      <w:r w:rsidR="009D5A9B">
        <w:rPr>
          <w:sz w:val="22"/>
          <w:szCs w:val="22"/>
          <w:lang w:val="en-US"/>
        </w:rPr>
        <w:t>‘</w:t>
      </w:r>
      <w:r w:rsidR="00782C4B" w:rsidRPr="009D5A9B">
        <w:rPr>
          <w:iCs/>
          <w:sz w:val="22"/>
          <w:szCs w:val="22"/>
          <w:lang w:val="en-US"/>
        </w:rPr>
        <w:t>New deal for Consumers</w:t>
      </w:r>
      <w:r w:rsidR="009D5A9B">
        <w:rPr>
          <w:iCs/>
          <w:sz w:val="22"/>
          <w:szCs w:val="22"/>
          <w:lang w:val="en-US"/>
        </w:rPr>
        <w:t>’</w:t>
      </w:r>
      <w:r w:rsidR="00782C4B" w:rsidRPr="00CA53A1">
        <w:rPr>
          <w:i/>
          <w:iCs/>
          <w:sz w:val="22"/>
          <w:szCs w:val="22"/>
          <w:lang w:val="en-US"/>
        </w:rPr>
        <w:t xml:space="preserve"> </w:t>
      </w:r>
      <w:r w:rsidR="00782C4B" w:rsidRPr="00CA53A1">
        <w:rPr>
          <w:sz w:val="22"/>
          <w:szCs w:val="22"/>
          <w:lang w:val="en-US"/>
        </w:rPr>
        <w:t>package</w:t>
      </w:r>
      <w:r w:rsidR="000F510B" w:rsidRPr="00CA53A1">
        <w:rPr>
          <w:rStyle w:val="Rimandonotaapidipagina"/>
          <w:sz w:val="22"/>
          <w:szCs w:val="22"/>
          <w:lang w:val="en-US"/>
        </w:rPr>
        <w:footnoteReference w:id="21"/>
      </w:r>
      <w:r w:rsidR="00782C4B" w:rsidRPr="00CA53A1">
        <w:rPr>
          <w:sz w:val="22"/>
          <w:szCs w:val="22"/>
          <w:lang w:val="en-US"/>
        </w:rPr>
        <w:t>)</w:t>
      </w:r>
      <w:r w:rsidR="00AF7835" w:rsidRPr="00CA53A1">
        <w:rPr>
          <w:sz w:val="22"/>
          <w:szCs w:val="22"/>
          <w:lang w:val="en-US"/>
        </w:rPr>
        <w:t xml:space="preserve"> </w:t>
      </w:r>
      <w:r w:rsidRPr="00D33A26">
        <w:rPr>
          <w:sz w:val="22"/>
          <w:szCs w:val="22"/>
          <w:lang w:val="en-US"/>
        </w:rPr>
        <w:t>encourages representative actions for the protection of the collective interests of consumers. On a national level meanwhile, many European States have adopted new pieces of legislation regarding group actions, not only in consumer law</w:t>
      </w:r>
      <w:r w:rsidR="006A0390" w:rsidRPr="00CA53A1">
        <w:rPr>
          <w:sz w:val="22"/>
          <w:szCs w:val="22"/>
          <w:lang w:val="en-US"/>
        </w:rPr>
        <w:t>.</w:t>
      </w:r>
      <w:r w:rsidR="00731ECC" w:rsidRPr="00CA53A1">
        <w:rPr>
          <w:rStyle w:val="Rimandonotaapidipagina"/>
          <w:sz w:val="22"/>
          <w:szCs w:val="22"/>
          <w:lang w:val="en-US"/>
        </w:rPr>
        <w:footnoteReference w:id="22"/>
      </w:r>
      <w:r w:rsidR="007605B7" w:rsidRPr="00CA53A1">
        <w:rPr>
          <w:sz w:val="22"/>
          <w:szCs w:val="22"/>
          <w:lang w:val="en-US"/>
        </w:rPr>
        <w:t xml:space="preserve"> For </w:t>
      </w:r>
      <w:r w:rsidR="00181668" w:rsidRPr="00CA53A1">
        <w:rPr>
          <w:sz w:val="22"/>
          <w:szCs w:val="22"/>
          <w:lang w:val="en-US"/>
        </w:rPr>
        <w:t>example</w:t>
      </w:r>
      <w:r w:rsidR="007605B7" w:rsidRPr="00CA53A1">
        <w:rPr>
          <w:sz w:val="22"/>
          <w:szCs w:val="22"/>
          <w:lang w:val="en-US"/>
        </w:rPr>
        <w:t xml:space="preserve">, </w:t>
      </w:r>
      <w:r w:rsidR="00AF7835" w:rsidRPr="00CA53A1">
        <w:rPr>
          <w:sz w:val="22"/>
          <w:szCs w:val="22"/>
          <w:lang w:val="en-US"/>
        </w:rPr>
        <w:t>the Italian le</w:t>
      </w:r>
      <w:r w:rsidR="00D90F28" w:rsidRPr="00CA53A1">
        <w:rPr>
          <w:sz w:val="22"/>
          <w:szCs w:val="22"/>
          <w:lang w:val="en-US"/>
        </w:rPr>
        <w:t xml:space="preserve">gislator enacted a new law </w:t>
      </w:r>
      <w:r w:rsidR="00AF7835" w:rsidRPr="00CA53A1">
        <w:rPr>
          <w:sz w:val="22"/>
          <w:szCs w:val="22"/>
          <w:lang w:val="en-US"/>
        </w:rPr>
        <w:t>on class actions</w:t>
      </w:r>
      <w:r w:rsidR="00802244" w:rsidRPr="00CA53A1">
        <w:rPr>
          <w:sz w:val="22"/>
          <w:szCs w:val="22"/>
          <w:lang w:val="en-US"/>
        </w:rPr>
        <w:t xml:space="preserve"> in 2019 </w:t>
      </w:r>
      <w:r w:rsidR="00E36C84" w:rsidRPr="00CA53A1">
        <w:rPr>
          <w:sz w:val="22"/>
          <w:szCs w:val="22"/>
          <w:lang w:val="en-US"/>
        </w:rPr>
        <w:t>(</w:t>
      </w:r>
      <w:r w:rsidR="0083469D" w:rsidRPr="00CA53A1">
        <w:rPr>
          <w:sz w:val="22"/>
          <w:szCs w:val="22"/>
          <w:lang w:val="en-US"/>
        </w:rPr>
        <w:t>article</w:t>
      </w:r>
      <w:r w:rsidR="00E36C84" w:rsidRPr="00CA53A1">
        <w:rPr>
          <w:sz w:val="22"/>
          <w:szCs w:val="22"/>
          <w:lang w:val="en-US"/>
        </w:rPr>
        <w:t>s</w:t>
      </w:r>
      <w:r w:rsidR="00AF7835" w:rsidRPr="00CA53A1">
        <w:rPr>
          <w:sz w:val="22"/>
          <w:szCs w:val="22"/>
          <w:lang w:val="en-US"/>
        </w:rPr>
        <w:t xml:space="preserve"> 840 </w:t>
      </w:r>
      <w:r w:rsidR="00AF7835" w:rsidRPr="00CA53A1">
        <w:rPr>
          <w:i/>
          <w:iCs/>
          <w:sz w:val="22"/>
          <w:szCs w:val="22"/>
          <w:lang w:val="en-US"/>
        </w:rPr>
        <w:t xml:space="preserve">bis </w:t>
      </w:r>
      <w:r w:rsidR="009D5A9B">
        <w:rPr>
          <w:iCs/>
          <w:sz w:val="22"/>
          <w:szCs w:val="22"/>
          <w:lang w:val="en-US"/>
        </w:rPr>
        <w:t xml:space="preserve">ff </w:t>
      </w:r>
      <w:r w:rsidR="00AF7835" w:rsidRPr="00CA53A1">
        <w:rPr>
          <w:sz w:val="22"/>
          <w:szCs w:val="22"/>
          <w:lang w:val="en-US"/>
        </w:rPr>
        <w:t>of the Italian Civil Procedure Code)</w:t>
      </w:r>
      <w:r w:rsidR="006A0390" w:rsidRPr="00CA53A1">
        <w:rPr>
          <w:sz w:val="22"/>
          <w:szCs w:val="22"/>
          <w:lang w:val="en-US"/>
        </w:rPr>
        <w:t>.</w:t>
      </w:r>
      <w:r w:rsidR="00731ECC" w:rsidRPr="00CA53A1">
        <w:rPr>
          <w:rStyle w:val="Rimandonotaapidipagina"/>
          <w:sz w:val="22"/>
          <w:szCs w:val="22"/>
          <w:lang w:val="en-US"/>
        </w:rPr>
        <w:footnoteReference w:id="23"/>
      </w:r>
    </w:p>
    <w:p w14:paraId="25E3F533" w14:textId="0CC9DA4F" w:rsidR="00FC4246" w:rsidRPr="00CA53A1" w:rsidRDefault="00D33A26" w:rsidP="00621335">
      <w:pPr>
        <w:spacing w:after="120"/>
        <w:ind w:firstLine="567"/>
        <w:jc w:val="both"/>
        <w:rPr>
          <w:sz w:val="22"/>
          <w:szCs w:val="22"/>
          <w:lang w:val="en-US"/>
        </w:rPr>
      </w:pPr>
      <w:r w:rsidRPr="00D33A26">
        <w:rPr>
          <w:sz w:val="22"/>
          <w:szCs w:val="22"/>
          <w:lang w:val="en-US"/>
        </w:rPr>
        <w:t>However, some civil law jurisdictions are still quite skeptical about the application o</w:t>
      </w:r>
      <w:r w:rsidR="00B27B5B">
        <w:rPr>
          <w:sz w:val="22"/>
          <w:szCs w:val="22"/>
          <w:lang w:val="en-US"/>
        </w:rPr>
        <w:t>f collective actions, since these</w:t>
      </w:r>
      <w:r w:rsidRPr="00D33A26">
        <w:rPr>
          <w:sz w:val="22"/>
          <w:szCs w:val="22"/>
          <w:lang w:val="en-US"/>
        </w:rPr>
        <w:t xml:space="preserve"> are almost inconceivable in legal systems where court rulings in prior adjudications are binding only on parties to the cases involved</w:t>
      </w:r>
      <w:r w:rsidR="006A0390" w:rsidRPr="00CA53A1">
        <w:rPr>
          <w:sz w:val="22"/>
          <w:szCs w:val="22"/>
          <w:lang w:val="en-US"/>
        </w:rPr>
        <w:t>.</w:t>
      </w:r>
      <w:r w:rsidR="003C2298" w:rsidRPr="00CA53A1">
        <w:rPr>
          <w:rStyle w:val="Rimandonotaapidipagina"/>
          <w:sz w:val="22"/>
          <w:szCs w:val="22"/>
          <w:lang w:val="en-US"/>
        </w:rPr>
        <w:footnoteReference w:id="24"/>
      </w:r>
      <w:r w:rsidR="00AF7835" w:rsidRPr="00CA53A1">
        <w:rPr>
          <w:sz w:val="22"/>
          <w:szCs w:val="22"/>
          <w:lang w:val="en-US"/>
        </w:rPr>
        <w:t> </w:t>
      </w:r>
      <w:r w:rsidRPr="00D33A26">
        <w:rPr>
          <w:sz w:val="22"/>
          <w:szCs w:val="22"/>
          <w:lang w:val="en-US"/>
        </w:rPr>
        <w:t>Ostensibly, group actions would seem to be at odds with some of the fundamental rules and principles</w:t>
      </w:r>
      <w:r>
        <w:rPr>
          <w:sz w:val="22"/>
          <w:szCs w:val="22"/>
          <w:lang w:val="en-US"/>
        </w:rPr>
        <w:t xml:space="preserve"> of civil procedure,</w:t>
      </w:r>
      <w:r w:rsidRPr="00D33A26">
        <w:rPr>
          <w:sz w:val="22"/>
          <w:szCs w:val="22"/>
          <w:lang w:val="en-US"/>
        </w:rPr>
        <w:t xml:space="preserve"> </w:t>
      </w:r>
      <w:r w:rsidR="00041950">
        <w:rPr>
          <w:sz w:val="22"/>
          <w:szCs w:val="22"/>
          <w:lang w:val="en-US"/>
        </w:rPr>
        <w:t xml:space="preserve">such as the </w:t>
      </w:r>
      <w:r w:rsidR="00181668" w:rsidRPr="00CA53A1">
        <w:rPr>
          <w:sz w:val="22"/>
          <w:szCs w:val="22"/>
          <w:lang w:val="en-US"/>
        </w:rPr>
        <w:t xml:space="preserve">right of action and </w:t>
      </w:r>
      <w:r w:rsidR="006653F0" w:rsidRPr="00CA53A1">
        <w:rPr>
          <w:sz w:val="22"/>
          <w:szCs w:val="22"/>
          <w:lang w:val="en-US"/>
        </w:rPr>
        <w:t xml:space="preserve">the right of disposition, and </w:t>
      </w:r>
      <w:r w:rsidR="009D5A9B">
        <w:rPr>
          <w:sz w:val="22"/>
          <w:szCs w:val="22"/>
          <w:lang w:val="en-US"/>
        </w:rPr>
        <w:t>the ‘</w:t>
      </w:r>
      <w:r w:rsidR="00DD7690" w:rsidRPr="00CA53A1">
        <w:rPr>
          <w:sz w:val="22"/>
          <w:szCs w:val="22"/>
          <w:lang w:val="en-US"/>
        </w:rPr>
        <w:t>subjective limit</w:t>
      </w:r>
      <w:r w:rsidR="009D5A9B">
        <w:rPr>
          <w:sz w:val="22"/>
          <w:szCs w:val="22"/>
          <w:lang w:val="en-US"/>
        </w:rPr>
        <w:t>s’</w:t>
      </w:r>
      <w:r w:rsidR="00181668" w:rsidRPr="00CA53A1">
        <w:rPr>
          <w:sz w:val="22"/>
          <w:szCs w:val="22"/>
          <w:lang w:val="en-US"/>
        </w:rPr>
        <w:t xml:space="preserve"> of </w:t>
      </w:r>
      <w:r w:rsidR="00181668" w:rsidRPr="00CA53A1">
        <w:rPr>
          <w:i/>
          <w:sz w:val="22"/>
          <w:szCs w:val="22"/>
          <w:lang w:val="en-US"/>
        </w:rPr>
        <w:t>res judicata</w:t>
      </w:r>
      <w:r w:rsidR="001E3072" w:rsidRPr="00CA53A1">
        <w:rPr>
          <w:i/>
          <w:sz w:val="22"/>
          <w:szCs w:val="22"/>
          <w:lang w:val="en-US"/>
        </w:rPr>
        <w:t>.</w:t>
      </w:r>
      <w:r w:rsidR="006178BE" w:rsidRPr="00CA53A1">
        <w:rPr>
          <w:rStyle w:val="Rimandonotaapidipagina"/>
          <w:sz w:val="22"/>
          <w:szCs w:val="22"/>
          <w:lang w:val="en-US"/>
        </w:rPr>
        <w:footnoteReference w:id="25"/>
      </w:r>
      <w:r w:rsidR="00181668" w:rsidRPr="00CA53A1">
        <w:rPr>
          <w:i/>
          <w:sz w:val="22"/>
          <w:szCs w:val="22"/>
          <w:lang w:val="en-US"/>
        </w:rPr>
        <w:t xml:space="preserve"> </w:t>
      </w:r>
    </w:p>
    <w:p w14:paraId="18709C54" w14:textId="7F9E3734" w:rsidR="00687008" w:rsidRPr="00CA53A1" w:rsidRDefault="00277717" w:rsidP="00621335">
      <w:pPr>
        <w:spacing w:after="120"/>
        <w:ind w:firstLine="567"/>
        <w:jc w:val="both"/>
        <w:rPr>
          <w:sz w:val="22"/>
          <w:szCs w:val="22"/>
          <w:lang w:val="en-US"/>
        </w:rPr>
      </w:pPr>
      <w:r w:rsidRPr="00CA53A1">
        <w:rPr>
          <w:sz w:val="22"/>
          <w:szCs w:val="22"/>
          <w:lang w:val="en-US"/>
        </w:rPr>
        <w:t>Procedural</w:t>
      </w:r>
      <w:r w:rsidR="00CF3729" w:rsidRPr="00CA53A1">
        <w:rPr>
          <w:sz w:val="22"/>
          <w:szCs w:val="22"/>
          <w:lang w:val="en-US"/>
        </w:rPr>
        <w:t xml:space="preserve"> law instruments </w:t>
      </w:r>
      <w:r w:rsidR="00D33A26">
        <w:rPr>
          <w:sz w:val="22"/>
          <w:szCs w:val="22"/>
          <w:lang w:val="en-US"/>
        </w:rPr>
        <w:t>are drawn up mainly</w:t>
      </w:r>
      <w:r w:rsidR="00CF3729" w:rsidRPr="00CA53A1">
        <w:rPr>
          <w:sz w:val="22"/>
          <w:szCs w:val="22"/>
          <w:lang w:val="en-US"/>
        </w:rPr>
        <w:t xml:space="preserve"> on an individual basis</w:t>
      </w:r>
      <w:r w:rsidR="00F7482E" w:rsidRPr="00CA53A1">
        <w:rPr>
          <w:sz w:val="22"/>
          <w:szCs w:val="22"/>
          <w:lang w:val="en-US"/>
        </w:rPr>
        <w:t xml:space="preserve">. </w:t>
      </w:r>
      <w:r w:rsidR="00D33A26">
        <w:rPr>
          <w:sz w:val="22"/>
          <w:szCs w:val="22"/>
          <w:lang w:val="en-US"/>
        </w:rPr>
        <w:t>European C</w:t>
      </w:r>
      <w:r w:rsidR="00B644D5" w:rsidRPr="00CA53A1">
        <w:rPr>
          <w:sz w:val="22"/>
          <w:szCs w:val="22"/>
          <w:lang w:val="en-US"/>
        </w:rPr>
        <w:t>onstitutions stat</w:t>
      </w:r>
      <w:r w:rsidR="00FC4246" w:rsidRPr="00CA53A1">
        <w:rPr>
          <w:sz w:val="22"/>
          <w:szCs w:val="22"/>
          <w:lang w:val="en-US"/>
        </w:rPr>
        <w:t xml:space="preserve">e that </w:t>
      </w:r>
      <w:r w:rsidR="00CF3729" w:rsidRPr="00CA53A1">
        <w:rPr>
          <w:sz w:val="22"/>
          <w:szCs w:val="22"/>
          <w:lang w:val="en-US"/>
        </w:rPr>
        <w:t>everyone</w:t>
      </w:r>
      <w:r w:rsidR="00B644D5" w:rsidRPr="00CA53A1">
        <w:rPr>
          <w:sz w:val="22"/>
          <w:szCs w:val="22"/>
          <w:lang w:val="en-US"/>
        </w:rPr>
        <w:t xml:space="preserve"> should have the right to </w:t>
      </w:r>
      <w:r w:rsidR="00FD6335" w:rsidRPr="00CA53A1">
        <w:rPr>
          <w:sz w:val="22"/>
          <w:szCs w:val="22"/>
          <w:lang w:val="en-US"/>
        </w:rPr>
        <w:t>bring their</w:t>
      </w:r>
      <w:r w:rsidR="00F7482E" w:rsidRPr="00CA53A1">
        <w:rPr>
          <w:sz w:val="22"/>
          <w:szCs w:val="22"/>
          <w:lang w:val="en-US"/>
        </w:rPr>
        <w:t xml:space="preserve"> right</w:t>
      </w:r>
      <w:r w:rsidR="00FD6335" w:rsidRPr="00CA53A1">
        <w:rPr>
          <w:sz w:val="22"/>
          <w:szCs w:val="22"/>
          <w:lang w:val="en-US"/>
        </w:rPr>
        <w:t>s to courts</w:t>
      </w:r>
      <w:r w:rsidR="00A90E89" w:rsidRPr="00CA53A1">
        <w:rPr>
          <w:sz w:val="22"/>
          <w:szCs w:val="22"/>
          <w:lang w:val="en-US"/>
        </w:rPr>
        <w:t xml:space="preserve"> through a </w:t>
      </w:r>
      <w:r w:rsidR="00FD6335" w:rsidRPr="00CA53A1">
        <w:rPr>
          <w:sz w:val="22"/>
          <w:szCs w:val="22"/>
          <w:lang w:val="en-US"/>
        </w:rPr>
        <w:t xml:space="preserve">judicial </w:t>
      </w:r>
      <w:r w:rsidR="00FC4246" w:rsidRPr="00CA53A1">
        <w:rPr>
          <w:sz w:val="22"/>
          <w:szCs w:val="22"/>
          <w:lang w:val="en-US"/>
        </w:rPr>
        <w:t>complaint.</w:t>
      </w:r>
      <w:r w:rsidR="00E916FF" w:rsidRPr="00CA53A1">
        <w:rPr>
          <w:rStyle w:val="Rimandonotaapidipagina"/>
          <w:sz w:val="22"/>
          <w:szCs w:val="22"/>
          <w:lang w:val="en-US"/>
        </w:rPr>
        <w:footnoteReference w:id="26"/>
      </w:r>
      <w:r w:rsidR="0020446E" w:rsidRPr="00CA53A1">
        <w:rPr>
          <w:sz w:val="22"/>
          <w:szCs w:val="22"/>
          <w:lang w:val="en-US"/>
        </w:rPr>
        <w:t xml:space="preserve"> This right i</w:t>
      </w:r>
      <w:r w:rsidR="009D5A9B">
        <w:rPr>
          <w:sz w:val="22"/>
          <w:szCs w:val="22"/>
          <w:lang w:val="en-US"/>
        </w:rPr>
        <w:t>s traditionally referred to as the right of action</w:t>
      </w:r>
      <w:r w:rsidR="0020446E" w:rsidRPr="00CA53A1">
        <w:rPr>
          <w:sz w:val="22"/>
          <w:szCs w:val="22"/>
          <w:lang w:val="en-US"/>
        </w:rPr>
        <w:t xml:space="preserve">. </w:t>
      </w:r>
      <w:r w:rsidR="00687008" w:rsidRPr="00CA53A1">
        <w:rPr>
          <w:sz w:val="22"/>
          <w:szCs w:val="22"/>
          <w:lang w:val="en-US"/>
        </w:rPr>
        <w:t>Judicial authorities</w:t>
      </w:r>
      <w:r w:rsidR="00CF3729" w:rsidRPr="00CA53A1">
        <w:rPr>
          <w:sz w:val="22"/>
          <w:szCs w:val="22"/>
          <w:lang w:val="en-US"/>
        </w:rPr>
        <w:t xml:space="preserve"> are </w:t>
      </w:r>
      <w:r w:rsidR="0020446E" w:rsidRPr="00CA53A1">
        <w:rPr>
          <w:sz w:val="22"/>
          <w:szCs w:val="22"/>
          <w:lang w:val="en-US"/>
        </w:rPr>
        <w:t>obliged to</w:t>
      </w:r>
      <w:r w:rsidR="00FD6335" w:rsidRPr="00CA53A1">
        <w:rPr>
          <w:sz w:val="22"/>
          <w:szCs w:val="22"/>
          <w:lang w:val="en-US"/>
        </w:rPr>
        <w:t xml:space="preserve"> pronounce their verdicts</w:t>
      </w:r>
      <w:r w:rsidR="0020446E" w:rsidRPr="00CA53A1">
        <w:rPr>
          <w:sz w:val="22"/>
          <w:szCs w:val="22"/>
          <w:lang w:val="en-US"/>
        </w:rPr>
        <w:t xml:space="preserve"> only </w:t>
      </w:r>
      <w:r w:rsidR="00FD6335" w:rsidRPr="00CA53A1">
        <w:rPr>
          <w:sz w:val="22"/>
          <w:szCs w:val="22"/>
          <w:lang w:val="en-US"/>
        </w:rPr>
        <w:t>on the basis of what</w:t>
      </w:r>
      <w:r w:rsidR="0020446E" w:rsidRPr="00CA53A1">
        <w:rPr>
          <w:sz w:val="22"/>
          <w:szCs w:val="22"/>
          <w:lang w:val="en-US"/>
        </w:rPr>
        <w:t xml:space="preserve"> </w:t>
      </w:r>
      <w:r w:rsidR="00A615CC" w:rsidRPr="00CA53A1">
        <w:rPr>
          <w:sz w:val="22"/>
          <w:szCs w:val="22"/>
          <w:lang w:val="en-US"/>
        </w:rPr>
        <w:t xml:space="preserve">parties have </w:t>
      </w:r>
      <w:r w:rsidR="00D84C22" w:rsidRPr="00CA53A1">
        <w:rPr>
          <w:sz w:val="22"/>
          <w:szCs w:val="22"/>
          <w:lang w:val="en-US"/>
        </w:rPr>
        <w:t xml:space="preserve">alleged and proved, </w:t>
      </w:r>
      <w:r w:rsidR="00CF3729" w:rsidRPr="00CA53A1">
        <w:rPr>
          <w:sz w:val="22"/>
          <w:szCs w:val="22"/>
          <w:lang w:val="en-US"/>
        </w:rPr>
        <w:t xml:space="preserve">in accordance with </w:t>
      </w:r>
      <w:r w:rsidR="009D5A9B">
        <w:rPr>
          <w:sz w:val="22"/>
          <w:szCs w:val="22"/>
          <w:lang w:val="en-US"/>
        </w:rPr>
        <w:t>t</w:t>
      </w:r>
      <w:r w:rsidRPr="00CA53A1">
        <w:rPr>
          <w:sz w:val="22"/>
          <w:szCs w:val="22"/>
          <w:lang w:val="en-US"/>
        </w:rPr>
        <w:t>he dispositive principle</w:t>
      </w:r>
      <w:r w:rsidR="00D84C22" w:rsidRPr="00CA53A1">
        <w:rPr>
          <w:sz w:val="22"/>
          <w:szCs w:val="22"/>
          <w:lang w:val="en-US"/>
        </w:rPr>
        <w:t>.</w:t>
      </w:r>
      <w:r w:rsidR="00E916FF" w:rsidRPr="00CA53A1">
        <w:rPr>
          <w:rStyle w:val="Rimandonotaapidipagina"/>
          <w:sz w:val="22"/>
          <w:szCs w:val="22"/>
          <w:lang w:val="en-US"/>
        </w:rPr>
        <w:footnoteReference w:id="27"/>
      </w:r>
      <w:r w:rsidR="00687008" w:rsidRPr="00CA53A1">
        <w:rPr>
          <w:sz w:val="22"/>
          <w:szCs w:val="22"/>
          <w:lang w:val="en-US"/>
        </w:rPr>
        <w:t xml:space="preserve"> </w:t>
      </w:r>
      <w:r w:rsidR="00D33A26" w:rsidRPr="00D33A26">
        <w:rPr>
          <w:sz w:val="22"/>
          <w:szCs w:val="22"/>
          <w:lang w:val="en-US"/>
        </w:rPr>
        <w:t xml:space="preserve">The </w:t>
      </w:r>
      <w:r w:rsidR="00D33A26" w:rsidRPr="00D33A26">
        <w:rPr>
          <w:sz w:val="22"/>
          <w:szCs w:val="22"/>
          <w:lang w:val="en-US"/>
        </w:rPr>
        <w:lastRenderedPageBreak/>
        <w:t>possibility of another (natural or legal) person enforcing someone else’s rights is regarded as exceptional, and would therefore need to be covered by legal provisions</w:t>
      </w:r>
      <w:r w:rsidR="006A0390" w:rsidRPr="00CA53A1">
        <w:rPr>
          <w:sz w:val="22"/>
          <w:szCs w:val="22"/>
          <w:lang w:val="en-US"/>
        </w:rPr>
        <w:t>.</w:t>
      </w:r>
      <w:r w:rsidR="00A615CC" w:rsidRPr="00CA53A1">
        <w:rPr>
          <w:rStyle w:val="Rimandonotaapidipagina"/>
          <w:sz w:val="22"/>
          <w:szCs w:val="22"/>
          <w:lang w:val="en-US"/>
        </w:rPr>
        <w:footnoteReference w:id="28"/>
      </w:r>
    </w:p>
    <w:p w14:paraId="2254EC8E" w14:textId="148443F3" w:rsidR="00181668" w:rsidRPr="00CA53A1" w:rsidRDefault="00A615CC" w:rsidP="00621335">
      <w:pPr>
        <w:spacing w:after="120"/>
        <w:ind w:firstLine="567"/>
        <w:jc w:val="both"/>
        <w:rPr>
          <w:sz w:val="22"/>
          <w:szCs w:val="22"/>
          <w:lang w:val="en-US"/>
        </w:rPr>
      </w:pPr>
      <w:r w:rsidRPr="00CA53A1">
        <w:rPr>
          <w:sz w:val="22"/>
          <w:szCs w:val="22"/>
          <w:lang w:val="en-US"/>
        </w:rPr>
        <w:t>Moreover, according to the rules on</w:t>
      </w:r>
      <w:r w:rsidR="00FC4246" w:rsidRPr="00CA53A1">
        <w:rPr>
          <w:sz w:val="22"/>
          <w:szCs w:val="22"/>
          <w:lang w:val="en-US"/>
        </w:rPr>
        <w:t xml:space="preserve"> the subjective limits of </w:t>
      </w:r>
      <w:r w:rsidR="008705C0" w:rsidRPr="00CA53A1">
        <w:rPr>
          <w:i/>
          <w:sz w:val="22"/>
          <w:szCs w:val="22"/>
          <w:lang w:val="en-US"/>
        </w:rPr>
        <w:t xml:space="preserve">res </w:t>
      </w:r>
      <w:r w:rsidR="00FC4246" w:rsidRPr="00CA53A1">
        <w:rPr>
          <w:i/>
          <w:sz w:val="22"/>
          <w:szCs w:val="22"/>
          <w:lang w:val="en-US"/>
        </w:rPr>
        <w:t>judicata</w:t>
      </w:r>
      <w:r w:rsidRPr="00CA53A1">
        <w:rPr>
          <w:i/>
          <w:sz w:val="22"/>
          <w:szCs w:val="22"/>
          <w:lang w:val="en-US"/>
        </w:rPr>
        <w:t xml:space="preserve">, </w:t>
      </w:r>
      <w:r w:rsidR="00FC4246" w:rsidRPr="00CA53A1">
        <w:rPr>
          <w:sz w:val="22"/>
          <w:szCs w:val="22"/>
          <w:lang w:val="en-US"/>
        </w:rPr>
        <w:t>individuals who were not litigants</w:t>
      </w:r>
      <w:r w:rsidR="00F7482E" w:rsidRPr="00CA53A1">
        <w:rPr>
          <w:sz w:val="22"/>
          <w:szCs w:val="22"/>
          <w:lang w:val="en-US"/>
        </w:rPr>
        <w:t xml:space="preserve"> in a certain p</w:t>
      </w:r>
      <w:r w:rsidR="00247C0E">
        <w:rPr>
          <w:sz w:val="22"/>
          <w:szCs w:val="22"/>
          <w:lang w:val="en-US"/>
        </w:rPr>
        <w:t>roceeding cannot be bound by its outcome</w:t>
      </w:r>
      <w:r w:rsidR="00FC4246" w:rsidRPr="00CA53A1">
        <w:rPr>
          <w:sz w:val="22"/>
          <w:szCs w:val="22"/>
          <w:lang w:val="en-US"/>
        </w:rPr>
        <w:t xml:space="preserve">. </w:t>
      </w:r>
      <w:r w:rsidR="00F7482E" w:rsidRPr="00CA53A1">
        <w:rPr>
          <w:sz w:val="22"/>
          <w:szCs w:val="22"/>
          <w:lang w:val="en-US"/>
        </w:rPr>
        <w:t xml:space="preserve">Otherwise, </w:t>
      </w:r>
      <w:r w:rsidR="00FD6335" w:rsidRPr="00CA53A1">
        <w:rPr>
          <w:sz w:val="22"/>
          <w:szCs w:val="22"/>
          <w:lang w:val="en-US"/>
        </w:rPr>
        <w:t xml:space="preserve">the interests of </w:t>
      </w:r>
      <w:r w:rsidRPr="00CA53A1">
        <w:rPr>
          <w:sz w:val="22"/>
          <w:szCs w:val="22"/>
          <w:lang w:val="en-US"/>
        </w:rPr>
        <w:t xml:space="preserve">non-parties </w:t>
      </w:r>
      <w:r w:rsidR="00F7482E" w:rsidRPr="00CA53A1">
        <w:rPr>
          <w:sz w:val="22"/>
          <w:szCs w:val="22"/>
          <w:lang w:val="en-US"/>
        </w:rPr>
        <w:t xml:space="preserve">who did not have had the opportunity to </w:t>
      </w:r>
      <w:r w:rsidR="00034D5B" w:rsidRPr="00CA53A1">
        <w:rPr>
          <w:sz w:val="22"/>
          <w:szCs w:val="22"/>
          <w:lang w:val="en-US"/>
        </w:rPr>
        <w:t>be heard</w:t>
      </w:r>
      <w:r w:rsidR="00F7482E" w:rsidRPr="00CA53A1">
        <w:rPr>
          <w:sz w:val="22"/>
          <w:szCs w:val="22"/>
          <w:lang w:val="en-US"/>
        </w:rPr>
        <w:t xml:space="preserve"> </w:t>
      </w:r>
      <w:r w:rsidRPr="00CA53A1">
        <w:rPr>
          <w:sz w:val="22"/>
          <w:szCs w:val="22"/>
          <w:lang w:val="en-US"/>
        </w:rPr>
        <w:t xml:space="preserve">would </w:t>
      </w:r>
      <w:r w:rsidR="00D84C22" w:rsidRPr="00CA53A1">
        <w:rPr>
          <w:sz w:val="22"/>
          <w:szCs w:val="22"/>
          <w:lang w:val="en-US"/>
        </w:rPr>
        <w:t>be</w:t>
      </w:r>
      <w:r w:rsidR="00FD6335" w:rsidRPr="00CA53A1">
        <w:rPr>
          <w:sz w:val="22"/>
          <w:szCs w:val="22"/>
          <w:lang w:val="en-US"/>
        </w:rPr>
        <w:t xml:space="preserve"> impaired</w:t>
      </w:r>
      <w:r w:rsidR="00034D5B" w:rsidRPr="00CA53A1">
        <w:rPr>
          <w:sz w:val="22"/>
          <w:szCs w:val="22"/>
          <w:lang w:val="en-US"/>
        </w:rPr>
        <w:t>,</w:t>
      </w:r>
      <w:r w:rsidR="00FD6335" w:rsidRPr="00CA53A1">
        <w:rPr>
          <w:sz w:val="22"/>
          <w:szCs w:val="22"/>
          <w:lang w:val="en-US"/>
        </w:rPr>
        <w:t xml:space="preserve"> and </w:t>
      </w:r>
      <w:r w:rsidRPr="00CA53A1">
        <w:rPr>
          <w:sz w:val="22"/>
          <w:szCs w:val="22"/>
          <w:lang w:val="en-US"/>
        </w:rPr>
        <w:t>their right of defense would be unduly violated.</w:t>
      </w:r>
      <w:r w:rsidR="00C81D00" w:rsidRPr="00CA53A1">
        <w:rPr>
          <w:rStyle w:val="Rimandonotaapidipagina"/>
          <w:sz w:val="22"/>
          <w:szCs w:val="22"/>
          <w:lang w:val="en-US"/>
        </w:rPr>
        <w:footnoteReference w:id="29"/>
      </w:r>
    </w:p>
    <w:p w14:paraId="41E38906" w14:textId="3375DF57" w:rsidR="00F7482E" w:rsidRPr="00CA53A1" w:rsidRDefault="00247C0E" w:rsidP="00621335">
      <w:pPr>
        <w:spacing w:after="120"/>
        <w:ind w:firstLine="567"/>
        <w:jc w:val="both"/>
        <w:rPr>
          <w:sz w:val="22"/>
          <w:szCs w:val="22"/>
          <w:lang w:val="en-US"/>
        </w:rPr>
      </w:pPr>
      <w:r>
        <w:rPr>
          <w:sz w:val="22"/>
          <w:szCs w:val="22"/>
          <w:lang w:val="en-US"/>
        </w:rPr>
        <w:t>By contrast</w:t>
      </w:r>
      <w:r w:rsidR="00F7482E" w:rsidRPr="00CA53A1">
        <w:rPr>
          <w:sz w:val="22"/>
          <w:szCs w:val="22"/>
          <w:lang w:val="en-US"/>
        </w:rPr>
        <w:t xml:space="preserve">, in group actions, not only </w:t>
      </w:r>
      <w:r w:rsidR="00FD6335" w:rsidRPr="00CA53A1">
        <w:rPr>
          <w:sz w:val="22"/>
          <w:szCs w:val="22"/>
          <w:lang w:val="en-US"/>
        </w:rPr>
        <w:t>another subject (a legal entity</w:t>
      </w:r>
      <w:r w:rsidR="00F7482E" w:rsidRPr="00CA53A1">
        <w:rPr>
          <w:sz w:val="22"/>
          <w:szCs w:val="22"/>
          <w:lang w:val="en-US"/>
        </w:rPr>
        <w:t xml:space="preserve"> or a natural person, the so-called </w:t>
      </w:r>
      <w:r w:rsidR="00B27B5B">
        <w:rPr>
          <w:sz w:val="22"/>
          <w:szCs w:val="22"/>
          <w:lang w:val="en-US"/>
        </w:rPr>
        <w:t>‘</w:t>
      </w:r>
      <w:r w:rsidR="00F7482E" w:rsidRPr="00B27B5B">
        <w:rPr>
          <w:sz w:val="22"/>
          <w:szCs w:val="22"/>
          <w:lang w:val="en-US"/>
        </w:rPr>
        <w:t>class representative</w:t>
      </w:r>
      <w:r w:rsidR="00B27B5B">
        <w:rPr>
          <w:sz w:val="22"/>
          <w:szCs w:val="22"/>
          <w:lang w:val="en-US"/>
        </w:rPr>
        <w:t>’</w:t>
      </w:r>
      <w:r w:rsidR="00F7482E" w:rsidRPr="00CA53A1">
        <w:rPr>
          <w:sz w:val="22"/>
          <w:szCs w:val="22"/>
          <w:lang w:val="en-US"/>
        </w:rPr>
        <w:t xml:space="preserve">) </w:t>
      </w:r>
      <w:r w:rsidR="00A615CC" w:rsidRPr="00CA53A1">
        <w:rPr>
          <w:sz w:val="22"/>
          <w:szCs w:val="22"/>
          <w:lang w:val="en-US"/>
        </w:rPr>
        <w:t>can act</w:t>
      </w:r>
      <w:r w:rsidR="00F7482E" w:rsidRPr="00CA53A1">
        <w:rPr>
          <w:sz w:val="22"/>
          <w:szCs w:val="22"/>
          <w:lang w:val="en-US"/>
        </w:rPr>
        <w:t xml:space="preserve"> </w:t>
      </w:r>
      <w:r w:rsidR="00B27B5B">
        <w:rPr>
          <w:sz w:val="22"/>
          <w:szCs w:val="22"/>
          <w:lang w:val="en-US"/>
        </w:rPr>
        <w:t xml:space="preserve">as a plaintiff </w:t>
      </w:r>
      <w:r w:rsidR="00D84C22" w:rsidRPr="00CA53A1">
        <w:rPr>
          <w:sz w:val="22"/>
          <w:szCs w:val="22"/>
          <w:lang w:val="en-US"/>
        </w:rPr>
        <w:t>on behalf of</w:t>
      </w:r>
      <w:r w:rsidR="00F7482E" w:rsidRPr="00CA53A1">
        <w:rPr>
          <w:sz w:val="22"/>
          <w:szCs w:val="22"/>
          <w:lang w:val="en-US"/>
        </w:rPr>
        <w:t xml:space="preserve"> a plurality of individuals</w:t>
      </w:r>
      <w:r w:rsidR="00B27B5B">
        <w:rPr>
          <w:sz w:val="22"/>
          <w:szCs w:val="22"/>
          <w:lang w:val="en-US"/>
        </w:rPr>
        <w:t xml:space="preserve"> to uphold their rights,</w:t>
      </w:r>
      <w:r w:rsidR="00A615CC" w:rsidRPr="00CA53A1">
        <w:rPr>
          <w:sz w:val="22"/>
          <w:szCs w:val="22"/>
          <w:lang w:val="en-US"/>
        </w:rPr>
        <w:t xml:space="preserve"> but </w:t>
      </w:r>
      <w:r w:rsidR="00ED715C" w:rsidRPr="00CA53A1">
        <w:rPr>
          <w:sz w:val="22"/>
          <w:szCs w:val="22"/>
          <w:lang w:val="en-US"/>
        </w:rPr>
        <w:t xml:space="preserve">absent </w:t>
      </w:r>
      <w:r w:rsidR="00F7482E" w:rsidRPr="00CA53A1">
        <w:rPr>
          <w:sz w:val="22"/>
          <w:szCs w:val="22"/>
          <w:lang w:val="en-US"/>
        </w:rPr>
        <w:t>class members are</w:t>
      </w:r>
      <w:r w:rsidR="00A615CC" w:rsidRPr="00CA53A1">
        <w:rPr>
          <w:sz w:val="22"/>
          <w:szCs w:val="22"/>
          <w:lang w:val="en-US"/>
        </w:rPr>
        <w:t xml:space="preserve"> also</w:t>
      </w:r>
      <w:r w:rsidR="00F7482E" w:rsidRPr="00CA53A1">
        <w:rPr>
          <w:sz w:val="22"/>
          <w:szCs w:val="22"/>
          <w:lang w:val="en-US"/>
        </w:rPr>
        <w:t xml:space="preserve"> bound by the </w:t>
      </w:r>
      <w:r w:rsidR="00A615CC" w:rsidRPr="00CA53A1">
        <w:rPr>
          <w:sz w:val="22"/>
          <w:szCs w:val="22"/>
          <w:lang w:val="en-US"/>
        </w:rPr>
        <w:t>fi</w:t>
      </w:r>
      <w:r w:rsidR="005B7FF7" w:rsidRPr="00CA53A1">
        <w:rPr>
          <w:sz w:val="22"/>
          <w:szCs w:val="22"/>
          <w:lang w:val="en-US"/>
        </w:rPr>
        <w:t>nal judgment</w:t>
      </w:r>
      <w:r w:rsidR="00F7482E" w:rsidRPr="00CA53A1">
        <w:rPr>
          <w:sz w:val="22"/>
          <w:szCs w:val="22"/>
          <w:lang w:val="en-US"/>
        </w:rPr>
        <w:t>.</w:t>
      </w:r>
      <w:r w:rsidR="00FD330F" w:rsidRPr="00CA53A1">
        <w:rPr>
          <w:rStyle w:val="Rimandonotaapidipagina"/>
          <w:sz w:val="22"/>
          <w:szCs w:val="22"/>
          <w:lang w:val="en-US"/>
        </w:rPr>
        <w:footnoteReference w:id="30"/>
      </w:r>
      <w:r w:rsidR="00FD330F" w:rsidRPr="00CA53A1">
        <w:rPr>
          <w:sz w:val="22"/>
          <w:szCs w:val="22"/>
          <w:lang w:val="en-US"/>
        </w:rPr>
        <w:t xml:space="preserve"> </w:t>
      </w:r>
      <w:r w:rsidR="00F7482E" w:rsidRPr="00CA53A1">
        <w:rPr>
          <w:sz w:val="22"/>
          <w:szCs w:val="22"/>
          <w:lang w:val="en-US"/>
        </w:rPr>
        <w:t xml:space="preserve">This is particularly evident in </w:t>
      </w:r>
      <w:r w:rsidR="00F7482E" w:rsidRPr="00CA53A1">
        <w:rPr>
          <w:i/>
          <w:sz w:val="22"/>
          <w:szCs w:val="22"/>
          <w:lang w:val="en-US"/>
        </w:rPr>
        <w:t xml:space="preserve">opt-out </w:t>
      </w:r>
      <w:r w:rsidR="00A615CC" w:rsidRPr="00CA53A1">
        <w:rPr>
          <w:sz w:val="22"/>
          <w:szCs w:val="22"/>
          <w:lang w:val="en-US"/>
        </w:rPr>
        <w:t>collective redress,</w:t>
      </w:r>
      <w:r w:rsidR="00F7482E" w:rsidRPr="00CA53A1">
        <w:rPr>
          <w:sz w:val="22"/>
          <w:szCs w:val="22"/>
          <w:lang w:val="en-US"/>
        </w:rPr>
        <w:t xml:space="preserve"> but it is </w:t>
      </w:r>
      <w:r w:rsidR="0089559A">
        <w:rPr>
          <w:sz w:val="22"/>
          <w:szCs w:val="22"/>
          <w:lang w:val="en-US"/>
        </w:rPr>
        <w:t>also true</w:t>
      </w:r>
      <w:r w:rsidR="00F7482E" w:rsidRPr="00CA53A1">
        <w:rPr>
          <w:sz w:val="22"/>
          <w:szCs w:val="22"/>
          <w:lang w:val="en-US"/>
        </w:rPr>
        <w:t xml:space="preserve"> for </w:t>
      </w:r>
      <w:r w:rsidR="00F7482E" w:rsidRPr="00CA53A1">
        <w:rPr>
          <w:i/>
          <w:sz w:val="22"/>
          <w:szCs w:val="22"/>
          <w:lang w:val="en-US"/>
        </w:rPr>
        <w:t xml:space="preserve">opt-in </w:t>
      </w:r>
      <w:r w:rsidR="00F7482E" w:rsidRPr="00CA53A1">
        <w:rPr>
          <w:sz w:val="22"/>
          <w:szCs w:val="22"/>
          <w:lang w:val="en-US"/>
        </w:rPr>
        <w:t>proceeding</w:t>
      </w:r>
      <w:r w:rsidR="00CF3729" w:rsidRPr="00CA53A1">
        <w:rPr>
          <w:sz w:val="22"/>
          <w:szCs w:val="22"/>
          <w:lang w:val="en-US"/>
        </w:rPr>
        <w:t>s</w:t>
      </w:r>
      <w:r w:rsidR="006A0390" w:rsidRPr="00CA53A1">
        <w:rPr>
          <w:sz w:val="22"/>
          <w:szCs w:val="22"/>
          <w:lang w:val="en-US"/>
        </w:rPr>
        <w:t>.</w:t>
      </w:r>
      <w:r w:rsidR="00CF3729" w:rsidRPr="00CA53A1">
        <w:rPr>
          <w:rStyle w:val="Rimandonotaapidipagina"/>
          <w:sz w:val="22"/>
          <w:szCs w:val="22"/>
          <w:lang w:val="en-US"/>
        </w:rPr>
        <w:footnoteReference w:id="31"/>
      </w:r>
      <w:r w:rsidR="00A615CC" w:rsidRPr="00CA53A1">
        <w:rPr>
          <w:sz w:val="22"/>
          <w:szCs w:val="22"/>
          <w:lang w:val="en-US"/>
        </w:rPr>
        <w:t xml:space="preserve"> In fact, </w:t>
      </w:r>
      <w:r w:rsidR="00ED715C" w:rsidRPr="00CA53A1">
        <w:rPr>
          <w:sz w:val="22"/>
          <w:szCs w:val="22"/>
          <w:lang w:val="en-US"/>
        </w:rPr>
        <w:t xml:space="preserve">even </w:t>
      </w:r>
      <w:r w:rsidR="00CF3729" w:rsidRPr="00CA53A1">
        <w:rPr>
          <w:sz w:val="22"/>
          <w:szCs w:val="22"/>
          <w:lang w:val="en-US"/>
        </w:rPr>
        <w:t>when</w:t>
      </w:r>
      <w:r w:rsidR="00F7482E" w:rsidRPr="00CA53A1">
        <w:rPr>
          <w:sz w:val="22"/>
          <w:szCs w:val="22"/>
          <w:lang w:val="en-US"/>
        </w:rPr>
        <w:t xml:space="preserve"> </w:t>
      </w:r>
      <w:r w:rsidR="00FD6335" w:rsidRPr="00CA53A1">
        <w:rPr>
          <w:sz w:val="22"/>
          <w:szCs w:val="22"/>
          <w:lang w:val="en-US"/>
        </w:rPr>
        <w:t>group members</w:t>
      </w:r>
      <w:r w:rsidR="00CF3729" w:rsidRPr="00CA53A1">
        <w:rPr>
          <w:sz w:val="22"/>
          <w:szCs w:val="22"/>
          <w:lang w:val="en-US"/>
        </w:rPr>
        <w:t xml:space="preserve"> are required to opt</w:t>
      </w:r>
      <w:r w:rsidR="0089559A">
        <w:rPr>
          <w:sz w:val="22"/>
          <w:szCs w:val="22"/>
          <w:lang w:val="en-US"/>
        </w:rPr>
        <w:t xml:space="preserve"> into </w:t>
      </w:r>
      <w:r w:rsidR="00CF3729" w:rsidRPr="00CA53A1">
        <w:rPr>
          <w:sz w:val="22"/>
          <w:szCs w:val="22"/>
          <w:lang w:val="en-US"/>
        </w:rPr>
        <w:t xml:space="preserve">the litigation, </w:t>
      </w:r>
      <w:r w:rsidR="00A615CC" w:rsidRPr="00CA53A1">
        <w:rPr>
          <w:sz w:val="22"/>
          <w:szCs w:val="22"/>
          <w:lang w:val="en-US"/>
        </w:rPr>
        <w:t>namely</w:t>
      </w:r>
      <w:r w:rsidR="00CF3729" w:rsidRPr="00CA53A1">
        <w:rPr>
          <w:sz w:val="22"/>
          <w:szCs w:val="22"/>
          <w:lang w:val="en-US"/>
        </w:rPr>
        <w:t xml:space="preserve"> to express their will to be included in the proceeding, </w:t>
      </w:r>
      <w:r w:rsidR="00D84C22" w:rsidRPr="00CA53A1">
        <w:rPr>
          <w:sz w:val="22"/>
          <w:szCs w:val="22"/>
          <w:lang w:val="en-US"/>
        </w:rPr>
        <w:t>their judicial rights</w:t>
      </w:r>
      <w:r w:rsidR="00FE6646" w:rsidRPr="00CA53A1">
        <w:rPr>
          <w:sz w:val="22"/>
          <w:szCs w:val="22"/>
          <w:lang w:val="en-US"/>
        </w:rPr>
        <w:t xml:space="preserve"> </w:t>
      </w:r>
      <w:r w:rsidR="00ED715C" w:rsidRPr="00CA53A1">
        <w:rPr>
          <w:sz w:val="22"/>
          <w:szCs w:val="22"/>
          <w:lang w:val="en-US"/>
        </w:rPr>
        <w:t xml:space="preserve">are limited </w:t>
      </w:r>
      <w:r w:rsidR="00FE6646" w:rsidRPr="00CA53A1">
        <w:rPr>
          <w:sz w:val="22"/>
          <w:szCs w:val="22"/>
          <w:lang w:val="en-US"/>
        </w:rPr>
        <w:t>to a certain extent</w:t>
      </w:r>
      <w:r w:rsidR="00ED715C" w:rsidRPr="00CA53A1">
        <w:rPr>
          <w:sz w:val="22"/>
          <w:szCs w:val="22"/>
          <w:lang w:val="en-US"/>
        </w:rPr>
        <w:t>.</w:t>
      </w:r>
      <w:r w:rsidR="00CF3729" w:rsidRPr="00CA53A1">
        <w:rPr>
          <w:sz w:val="22"/>
          <w:szCs w:val="22"/>
          <w:lang w:val="en-US"/>
        </w:rPr>
        <w:t xml:space="preserve"> </w:t>
      </w:r>
      <w:r w:rsidR="00FD6335" w:rsidRPr="00CA53A1">
        <w:rPr>
          <w:sz w:val="22"/>
          <w:szCs w:val="22"/>
          <w:lang w:val="en-US"/>
        </w:rPr>
        <w:t>Opt-in and opt-out procedures are</w:t>
      </w:r>
      <w:r w:rsidR="00A615CC" w:rsidRPr="00CA53A1">
        <w:rPr>
          <w:sz w:val="22"/>
          <w:szCs w:val="22"/>
          <w:lang w:val="en-US"/>
        </w:rPr>
        <w:t xml:space="preserve"> justified </w:t>
      </w:r>
      <w:r w:rsidR="00B339C5" w:rsidRPr="00CA53A1">
        <w:rPr>
          <w:sz w:val="22"/>
          <w:szCs w:val="22"/>
          <w:lang w:val="en-US"/>
        </w:rPr>
        <w:t>by</w:t>
      </w:r>
      <w:r w:rsidR="00A615CC" w:rsidRPr="00CA53A1">
        <w:rPr>
          <w:sz w:val="22"/>
          <w:szCs w:val="22"/>
          <w:lang w:val="en-US"/>
        </w:rPr>
        <w:t xml:space="preserve"> the benefits that c</w:t>
      </w:r>
      <w:r w:rsidR="005B0368" w:rsidRPr="00CA53A1">
        <w:rPr>
          <w:sz w:val="22"/>
          <w:szCs w:val="22"/>
          <w:lang w:val="en-US"/>
        </w:rPr>
        <w:t xml:space="preserve">ollective litigation may bring </w:t>
      </w:r>
      <w:r w:rsidR="00A615CC" w:rsidRPr="00CA53A1">
        <w:rPr>
          <w:sz w:val="22"/>
          <w:szCs w:val="22"/>
          <w:lang w:val="en-US"/>
        </w:rPr>
        <w:t>in terms of access to justice and economy of procedures</w:t>
      </w:r>
      <w:r w:rsidR="00E700E5" w:rsidRPr="00CA53A1">
        <w:rPr>
          <w:sz w:val="22"/>
          <w:szCs w:val="22"/>
          <w:lang w:val="en-US"/>
        </w:rPr>
        <w:t>.</w:t>
      </w:r>
      <w:r w:rsidR="0014434A" w:rsidRPr="00CA53A1">
        <w:rPr>
          <w:sz w:val="22"/>
          <w:szCs w:val="22"/>
          <w:lang w:val="en-US"/>
        </w:rPr>
        <w:t xml:space="preserve"> </w:t>
      </w:r>
      <w:r w:rsidR="005B7FF7" w:rsidRPr="00CA53A1">
        <w:rPr>
          <w:sz w:val="22"/>
          <w:szCs w:val="22"/>
          <w:lang w:val="en-US"/>
        </w:rPr>
        <w:t>Nonetheless, i</w:t>
      </w:r>
      <w:r w:rsidR="00CF3729" w:rsidRPr="00CA53A1">
        <w:rPr>
          <w:sz w:val="22"/>
          <w:szCs w:val="22"/>
          <w:lang w:val="en-US"/>
        </w:rPr>
        <w:t xml:space="preserve">n the light of </w:t>
      </w:r>
      <w:r w:rsidR="005B7FF7" w:rsidRPr="00CA53A1">
        <w:rPr>
          <w:sz w:val="22"/>
          <w:szCs w:val="22"/>
          <w:lang w:val="en-US"/>
        </w:rPr>
        <w:t xml:space="preserve">all </w:t>
      </w:r>
      <w:r w:rsidR="00CF3729" w:rsidRPr="00CA53A1">
        <w:rPr>
          <w:sz w:val="22"/>
          <w:szCs w:val="22"/>
          <w:lang w:val="en-US"/>
        </w:rPr>
        <w:t>the fore</w:t>
      </w:r>
      <w:r w:rsidR="00B339C5" w:rsidRPr="00CA53A1">
        <w:rPr>
          <w:sz w:val="22"/>
          <w:szCs w:val="22"/>
          <w:lang w:val="en-US"/>
        </w:rPr>
        <w:t xml:space="preserve">going, group actions </w:t>
      </w:r>
      <w:r w:rsidR="00CF3729" w:rsidRPr="00CA53A1">
        <w:rPr>
          <w:sz w:val="22"/>
          <w:szCs w:val="22"/>
          <w:lang w:val="en-US"/>
        </w:rPr>
        <w:t xml:space="preserve">always </w:t>
      </w:r>
      <w:r w:rsidR="00B339C5" w:rsidRPr="00CA53A1">
        <w:rPr>
          <w:sz w:val="22"/>
          <w:szCs w:val="22"/>
          <w:lang w:val="en-US"/>
        </w:rPr>
        <w:t xml:space="preserve">need </w:t>
      </w:r>
      <w:r w:rsidR="0089559A">
        <w:rPr>
          <w:sz w:val="22"/>
          <w:szCs w:val="22"/>
          <w:lang w:val="en-US"/>
        </w:rPr>
        <w:t xml:space="preserve">a </w:t>
      </w:r>
      <w:r w:rsidR="00CF3729" w:rsidRPr="00CA53A1">
        <w:rPr>
          <w:sz w:val="22"/>
          <w:szCs w:val="22"/>
          <w:lang w:val="en-US"/>
        </w:rPr>
        <w:t xml:space="preserve">clear </w:t>
      </w:r>
      <w:r w:rsidR="00B339C5" w:rsidRPr="00CA53A1">
        <w:rPr>
          <w:sz w:val="22"/>
          <w:szCs w:val="22"/>
          <w:lang w:val="en-US"/>
        </w:rPr>
        <w:t>legal basis</w:t>
      </w:r>
      <w:r w:rsidR="00687008" w:rsidRPr="00CA53A1">
        <w:rPr>
          <w:sz w:val="22"/>
          <w:szCs w:val="22"/>
          <w:lang w:val="en-US"/>
        </w:rPr>
        <w:t>.</w:t>
      </w:r>
      <w:r w:rsidR="00F02E3A" w:rsidRPr="00CA53A1">
        <w:rPr>
          <w:sz w:val="22"/>
          <w:szCs w:val="22"/>
          <w:lang w:val="en-GB"/>
        </w:rPr>
        <w:t xml:space="preserve"> </w:t>
      </w:r>
      <w:r w:rsidR="0089559A">
        <w:rPr>
          <w:sz w:val="22"/>
          <w:szCs w:val="22"/>
          <w:lang w:val="en-GB"/>
        </w:rPr>
        <w:t>Statutes</w:t>
      </w:r>
      <w:r w:rsidR="0014434A" w:rsidRPr="00CA53A1">
        <w:rPr>
          <w:sz w:val="22"/>
          <w:szCs w:val="22"/>
          <w:lang w:val="en-GB"/>
        </w:rPr>
        <w:t xml:space="preserve"> should safeguard the right to due process, striking a balance between judicial efficiency, the right to a fair trial and consistency.</w:t>
      </w:r>
    </w:p>
    <w:p w14:paraId="7DFC477B" w14:textId="77777777" w:rsidR="0089559A" w:rsidRDefault="0089559A" w:rsidP="00621335">
      <w:pPr>
        <w:spacing w:after="120"/>
        <w:ind w:firstLine="567"/>
        <w:jc w:val="both"/>
        <w:rPr>
          <w:sz w:val="22"/>
          <w:szCs w:val="22"/>
          <w:lang w:val="en-GB"/>
        </w:rPr>
      </w:pPr>
      <w:r>
        <w:rPr>
          <w:sz w:val="22"/>
          <w:szCs w:val="22"/>
          <w:lang w:val="en-GB"/>
        </w:rPr>
        <w:t xml:space="preserve">As it was </w:t>
      </w:r>
      <w:r w:rsidR="00F523C3" w:rsidRPr="00CA53A1">
        <w:rPr>
          <w:sz w:val="22"/>
          <w:szCs w:val="22"/>
          <w:lang w:val="en-GB"/>
        </w:rPr>
        <w:t>mentioned</w:t>
      </w:r>
      <w:r>
        <w:rPr>
          <w:sz w:val="22"/>
          <w:szCs w:val="22"/>
          <w:lang w:val="en-GB"/>
        </w:rPr>
        <w:t xml:space="preserve"> above</w:t>
      </w:r>
      <w:r w:rsidR="00F523C3" w:rsidRPr="00CA53A1">
        <w:rPr>
          <w:sz w:val="22"/>
          <w:szCs w:val="22"/>
          <w:lang w:val="en-GB"/>
        </w:rPr>
        <w:t>,</w:t>
      </w:r>
      <w:r w:rsidR="00733B1F" w:rsidRPr="00CA53A1">
        <w:rPr>
          <w:sz w:val="22"/>
          <w:szCs w:val="22"/>
          <w:lang w:val="en-GB"/>
        </w:rPr>
        <w:t xml:space="preserve"> </w:t>
      </w:r>
      <w:r w:rsidR="00765F4E" w:rsidRPr="00CA53A1">
        <w:rPr>
          <w:sz w:val="22"/>
          <w:szCs w:val="22"/>
          <w:lang w:val="en-GB"/>
        </w:rPr>
        <w:t xml:space="preserve">it is well known that </w:t>
      </w:r>
      <w:r w:rsidR="00733B1F" w:rsidRPr="00CA53A1">
        <w:rPr>
          <w:sz w:val="22"/>
          <w:szCs w:val="22"/>
          <w:lang w:val="en-GB"/>
        </w:rPr>
        <w:t>c</w:t>
      </w:r>
      <w:r w:rsidR="00503450" w:rsidRPr="00CA53A1">
        <w:rPr>
          <w:sz w:val="22"/>
          <w:szCs w:val="22"/>
          <w:lang w:val="en-GB"/>
        </w:rPr>
        <w:t xml:space="preserve">ollective </w:t>
      </w:r>
      <w:r w:rsidR="00AF7835" w:rsidRPr="00CA53A1">
        <w:rPr>
          <w:sz w:val="22"/>
          <w:szCs w:val="22"/>
          <w:lang w:val="en-GB"/>
        </w:rPr>
        <w:t>redress mechanisms</w:t>
      </w:r>
      <w:r w:rsidR="003C2298" w:rsidRPr="00CA53A1">
        <w:rPr>
          <w:rStyle w:val="Rimandonotaapidipagina"/>
          <w:sz w:val="22"/>
          <w:szCs w:val="22"/>
          <w:lang w:val="en-GB"/>
        </w:rPr>
        <w:footnoteReference w:id="32"/>
      </w:r>
      <w:r w:rsidR="00544D28" w:rsidRPr="00CA53A1">
        <w:rPr>
          <w:sz w:val="22"/>
          <w:szCs w:val="22"/>
          <w:lang w:val="en-GB"/>
        </w:rPr>
        <w:t xml:space="preserve"> </w:t>
      </w:r>
      <w:r w:rsidRPr="0089559A">
        <w:rPr>
          <w:sz w:val="22"/>
          <w:szCs w:val="22"/>
          <w:lang w:val="en-GB"/>
        </w:rPr>
        <w:t>can help consumers to share their judicial costs and burdens when pursuing their case in court. As in certain claims the individual loss suffered by the consumer may be too small compared to the cost of litigation</w:t>
      </w:r>
      <w:r>
        <w:rPr>
          <w:sz w:val="22"/>
          <w:szCs w:val="22"/>
          <w:lang w:val="en-GB"/>
        </w:rPr>
        <w:t>,</w:t>
      </w:r>
      <w:r w:rsidR="003C2298" w:rsidRPr="00CA53A1">
        <w:rPr>
          <w:rStyle w:val="Rimandonotaapidipagina"/>
          <w:sz w:val="22"/>
          <w:szCs w:val="22"/>
          <w:lang w:val="en-GB"/>
        </w:rPr>
        <w:footnoteReference w:id="33"/>
      </w:r>
      <w:r>
        <w:rPr>
          <w:sz w:val="22"/>
          <w:szCs w:val="22"/>
          <w:lang w:val="en-GB"/>
        </w:rPr>
        <w:t xml:space="preserve"> c</w:t>
      </w:r>
      <w:r w:rsidR="00F523C3" w:rsidRPr="00CA53A1">
        <w:rPr>
          <w:sz w:val="22"/>
          <w:szCs w:val="22"/>
          <w:lang w:val="en-GB"/>
        </w:rPr>
        <w:t>ollective</w:t>
      </w:r>
      <w:r w:rsidR="00CF3729" w:rsidRPr="00CA53A1">
        <w:rPr>
          <w:sz w:val="22"/>
          <w:szCs w:val="22"/>
          <w:lang w:val="en-GB"/>
        </w:rPr>
        <w:t xml:space="preserve"> redress can ensure effective access to justice </w:t>
      </w:r>
      <w:r w:rsidR="00D84C22" w:rsidRPr="00CA53A1">
        <w:rPr>
          <w:sz w:val="22"/>
          <w:szCs w:val="22"/>
          <w:lang w:val="en-GB"/>
        </w:rPr>
        <w:t xml:space="preserve">to individuals, </w:t>
      </w:r>
      <w:r w:rsidRPr="0089559A">
        <w:rPr>
          <w:sz w:val="22"/>
          <w:szCs w:val="22"/>
          <w:lang w:val="en-GB"/>
        </w:rPr>
        <w:t>reduce the cost of litigation and achieve economies of procedure. They can also ensure clarity and consistency between decisions regarding similar matters, perform a regulatory function and deter Big Tech unfair practices.</w:t>
      </w:r>
      <w:r>
        <w:rPr>
          <w:sz w:val="22"/>
          <w:szCs w:val="22"/>
          <w:lang w:val="en-GB"/>
        </w:rPr>
        <w:t xml:space="preserve"> </w:t>
      </w:r>
    </w:p>
    <w:p w14:paraId="63FFB31B" w14:textId="0841DDBF" w:rsidR="00D84C22" w:rsidRPr="0089559A" w:rsidRDefault="00F523C3" w:rsidP="0089559A">
      <w:pPr>
        <w:spacing w:after="120"/>
        <w:ind w:firstLine="567"/>
        <w:jc w:val="both"/>
        <w:rPr>
          <w:sz w:val="22"/>
          <w:szCs w:val="22"/>
          <w:lang w:val="en-GB"/>
        </w:rPr>
      </w:pPr>
      <w:r w:rsidRPr="00CA53A1">
        <w:rPr>
          <w:sz w:val="22"/>
          <w:szCs w:val="22"/>
          <w:lang w:val="en-GB"/>
        </w:rPr>
        <w:t xml:space="preserve">This is </w:t>
      </w:r>
      <w:r w:rsidR="0089559A">
        <w:rPr>
          <w:sz w:val="22"/>
          <w:szCs w:val="22"/>
          <w:lang w:val="en-GB"/>
        </w:rPr>
        <w:t>particularly true for</w:t>
      </w:r>
      <w:r w:rsidRPr="00CA53A1">
        <w:rPr>
          <w:sz w:val="22"/>
          <w:szCs w:val="22"/>
          <w:lang w:val="en-GB"/>
        </w:rPr>
        <w:t xml:space="preserve"> compensatory actions in the field of data protection law. The </w:t>
      </w:r>
      <w:r w:rsidR="0089559A" w:rsidRPr="00CA53A1">
        <w:rPr>
          <w:sz w:val="22"/>
          <w:szCs w:val="22"/>
          <w:lang w:val="en-GB"/>
        </w:rPr>
        <w:t xml:space="preserve">losses </w:t>
      </w:r>
      <w:r w:rsidR="0089559A">
        <w:rPr>
          <w:sz w:val="22"/>
          <w:szCs w:val="22"/>
          <w:lang w:val="en-GB"/>
        </w:rPr>
        <w:t xml:space="preserve">suffered by </w:t>
      </w:r>
      <w:r w:rsidRPr="00CA53A1">
        <w:rPr>
          <w:sz w:val="22"/>
          <w:szCs w:val="22"/>
          <w:lang w:val="en-GB"/>
        </w:rPr>
        <w:t xml:space="preserve">data subjects </w:t>
      </w:r>
      <w:r w:rsidR="0089559A">
        <w:rPr>
          <w:sz w:val="22"/>
          <w:szCs w:val="22"/>
          <w:lang w:val="en-GB"/>
        </w:rPr>
        <w:t xml:space="preserve">are often </w:t>
      </w:r>
      <w:r w:rsidRPr="00CA53A1">
        <w:rPr>
          <w:sz w:val="22"/>
          <w:szCs w:val="22"/>
          <w:lang w:val="en-GB"/>
        </w:rPr>
        <w:t>non-pecuniary</w:t>
      </w:r>
      <w:r w:rsidR="009118FB" w:rsidRPr="00CA53A1">
        <w:rPr>
          <w:rStyle w:val="Rimandonotaapidipagina"/>
          <w:sz w:val="22"/>
          <w:szCs w:val="22"/>
          <w:lang w:val="en-GB"/>
        </w:rPr>
        <w:footnoteReference w:id="34"/>
      </w:r>
      <w:r w:rsidR="006A0390" w:rsidRPr="00CA53A1">
        <w:rPr>
          <w:sz w:val="22"/>
          <w:szCs w:val="22"/>
          <w:lang w:val="en-GB"/>
        </w:rPr>
        <w:t>.</w:t>
      </w:r>
      <w:r w:rsidR="0089559A">
        <w:rPr>
          <w:sz w:val="22"/>
          <w:szCs w:val="22"/>
          <w:lang w:val="en-GB"/>
        </w:rPr>
        <w:t xml:space="preserve"> </w:t>
      </w:r>
      <w:r w:rsidR="0089559A" w:rsidRPr="0089559A">
        <w:rPr>
          <w:sz w:val="22"/>
          <w:szCs w:val="22"/>
          <w:lang w:val="en-GB"/>
        </w:rPr>
        <w:t>This non-monetary damage arising from a violation of data protection law may vary in nature</w:t>
      </w:r>
      <w:r w:rsidR="0089559A">
        <w:rPr>
          <w:sz w:val="22"/>
          <w:szCs w:val="22"/>
          <w:lang w:val="en-GB"/>
        </w:rPr>
        <w:t xml:space="preserve">; </w:t>
      </w:r>
      <w:r w:rsidR="0089559A" w:rsidRPr="0089559A">
        <w:rPr>
          <w:sz w:val="22"/>
          <w:szCs w:val="22"/>
          <w:lang w:val="en-GB"/>
        </w:rPr>
        <w:t>for example, users might suffer distress and anxiety after an accidental data breach, or discomfort regarding their possible</w:t>
      </w:r>
      <w:r w:rsidR="002B7185">
        <w:rPr>
          <w:sz w:val="22"/>
          <w:szCs w:val="22"/>
          <w:lang w:val="en-GB"/>
        </w:rPr>
        <w:t xml:space="preserve"> identity</w:t>
      </w:r>
      <w:r w:rsidR="0089559A" w:rsidRPr="0089559A">
        <w:rPr>
          <w:sz w:val="22"/>
          <w:szCs w:val="22"/>
          <w:lang w:val="en-GB"/>
        </w:rPr>
        <w:t xml:space="preserve"> theft. Their self-determination may also be violated, for instance when purchasing services under the undue influence of</w:t>
      </w:r>
      <w:r w:rsidR="0089559A">
        <w:rPr>
          <w:sz w:val="22"/>
          <w:szCs w:val="22"/>
          <w:lang w:val="en-GB"/>
        </w:rPr>
        <w:t xml:space="preserve"> </w:t>
      </w:r>
      <w:r w:rsidR="0089559A" w:rsidRPr="0089559A">
        <w:rPr>
          <w:sz w:val="22"/>
          <w:szCs w:val="22"/>
          <w:lang w:val="en-GB"/>
        </w:rPr>
        <w:t xml:space="preserve">targeted advertising. This type of harm may be too </w:t>
      </w:r>
      <w:r w:rsidR="002B7185">
        <w:rPr>
          <w:sz w:val="22"/>
          <w:szCs w:val="22"/>
          <w:lang w:val="en-GB"/>
        </w:rPr>
        <w:t xml:space="preserve">small to be compensated </w:t>
      </w:r>
      <w:r w:rsidR="0089559A" w:rsidRPr="0089559A">
        <w:rPr>
          <w:sz w:val="22"/>
          <w:szCs w:val="22"/>
          <w:lang w:val="en-GB"/>
        </w:rPr>
        <w:t xml:space="preserve">if considered individually. This situation is likely to discourage data subjects seeking redress given the considerable cost of litigation. </w:t>
      </w:r>
      <w:r w:rsidRPr="00CA53A1">
        <w:rPr>
          <w:sz w:val="22"/>
          <w:szCs w:val="22"/>
          <w:lang w:val="en-GB"/>
        </w:rPr>
        <w:t xml:space="preserve"> </w:t>
      </w:r>
    </w:p>
    <w:p w14:paraId="1F891901" w14:textId="069E2382" w:rsidR="00F523C3" w:rsidRPr="00CA53A1" w:rsidRDefault="0089559A" w:rsidP="00621335">
      <w:pPr>
        <w:spacing w:after="120"/>
        <w:ind w:firstLine="567"/>
        <w:jc w:val="both"/>
        <w:rPr>
          <w:sz w:val="22"/>
          <w:szCs w:val="22"/>
          <w:lang w:val="en-GB"/>
        </w:rPr>
      </w:pPr>
      <w:r w:rsidRPr="0089559A">
        <w:rPr>
          <w:color w:val="000000" w:themeColor="text1"/>
          <w:sz w:val="22"/>
          <w:szCs w:val="22"/>
          <w:lang w:val="en-GB"/>
        </w:rPr>
        <w:lastRenderedPageBreak/>
        <w:t>The GDPR clearly states that every data subject shall receive effective judicial protection, in compliance with article 47 of the Charter of Fundamental Rights of the European Union (CFR). Despite this, access to justice risks being impaired if individuals do not know how to or do not have the means to assert their rights</w:t>
      </w:r>
      <w:r w:rsidR="006A0390" w:rsidRPr="00CA53A1">
        <w:rPr>
          <w:color w:val="000000" w:themeColor="text1"/>
          <w:sz w:val="22"/>
          <w:szCs w:val="22"/>
          <w:lang w:val="en-GB"/>
        </w:rPr>
        <w:t>.</w:t>
      </w:r>
      <w:r w:rsidR="00F523C3" w:rsidRPr="00CA53A1">
        <w:rPr>
          <w:rStyle w:val="Rimandonotaapidipagina"/>
          <w:color w:val="000000" w:themeColor="text1"/>
          <w:sz w:val="22"/>
          <w:szCs w:val="22"/>
          <w:lang w:val="en-GB"/>
        </w:rPr>
        <w:footnoteReference w:id="35"/>
      </w:r>
      <w:r w:rsidRPr="0089559A">
        <w:rPr>
          <w:sz w:val="24"/>
          <w:szCs w:val="24"/>
          <w:lang w:val="en-GB"/>
        </w:rPr>
        <w:t xml:space="preserve"> </w:t>
      </w:r>
      <w:r w:rsidRPr="0089559A">
        <w:rPr>
          <w:color w:val="000000" w:themeColor="text1"/>
          <w:sz w:val="22"/>
          <w:szCs w:val="22"/>
          <w:lang w:val="en-GB"/>
        </w:rPr>
        <w:t>Furthermore, the right to data protection is regarded as a fundamental right in the EU legal order, according to article 8 CFR.</w:t>
      </w:r>
      <w:r w:rsidR="005B7FF7" w:rsidRPr="00CA53A1">
        <w:rPr>
          <w:rStyle w:val="Rimandonotaapidipagina"/>
          <w:sz w:val="22"/>
          <w:szCs w:val="22"/>
          <w:lang w:val="en-GB"/>
        </w:rPr>
        <w:footnoteReference w:id="36"/>
      </w:r>
      <w:r w:rsidR="005B7FF7" w:rsidRPr="00CA53A1">
        <w:rPr>
          <w:sz w:val="22"/>
          <w:szCs w:val="22"/>
          <w:lang w:val="en-GB"/>
        </w:rPr>
        <w:t xml:space="preserve"> </w:t>
      </w:r>
      <w:r w:rsidR="00D84C22" w:rsidRPr="00CA53A1">
        <w:rPr>
          <w:sz w:val="22"/>
          <w:szCs w:val="22"/>
          <w:lang w:val="en-GB"/>
        </w:rPr>
        <w:t>Fundamental</w:t>
      </w:r>
      <w:r w:rsidR="005B7FF7" w:rsidRPr="00CA53A1">
        <w:rPr>
          <w:sz w:val="22"/>
          <w:szCs w:val="22"/>
          <w:lang w:val="en-GB"/>
        </w:rPr>
        <w:t xml:space="preserve"> rights violations shall always be compensated, however small the loss</w:t>
      </w:r>
      <w:r w:rsidR="00620E25" w:rsidRPr="00CA53A1">
        <w:rPr>
          <w:sz w:val="22"/>
          <w:szCs w:val="22"/>
          <w:lang w:val="en-GB"/>
        </w:rPr>
        <w:t>.</w:t>
      </w:r>
      <w:r w:rsidR="00620E25" w:rsidRPr="00CA53A1">
        <w:rPr>
          <w:rStyle w:val="Rimandonotaapidipagina"/>
          <w:sz w:val="22"/>
          <w:szCs w:val="22"/>
          <w:lang w:val="en-GB"/>
        </w:rPr>
        <w:footnoteReference w:id="37"/>
      </w:r>
      <w:r w:rsidR="005B7FF7" w:rsidRPr="00CA53A1">
        <w:rPr>
          <w:sz w:val="22"/>
          <w:szCs w:val="22"/>
          <w:lang w:val="en-GB"/>
        </w:rPr>
        <w:t xml:space="preserve"> </w:t>
      </w:r>
    </w:p>
    <w:p w14:paraId="3D3744AA" w14:textId="09CDEE8D" w:rsidR="005B7FF7" w:rsidRPr="00CA53A1" w:rsidRDefault="0089559A" w:rsidP="002C76AF">
      <w:pPr>
        <w:spacing w:after="120"/>
        <w:ind w:firstLine="567"/>
        <w:jc w:val="both"/>
        <w:rPr>
          <w:sz w:val="22"/>
          <w:szCs w:val="22"/>
          <w:lang w:val="en-GB"/>
        </w:rPr>
      </w:pPr>
      <w:r w:rsidRPr="0089559A">
        <w:rPr>
          <w:sz w:val="22"/>
          <w:szCs w:val="22"/>
          <w:lang w:val="en-GB"/>
        </w:rPr>
        <w:t>Collective redress might therefore be an appropriate way to compensate large numbers of individuals whose privacy rights have been affected. Furthermore, as far as non-pecuniary damages are concerned, national courts have maintained that personal rights violated by the same unlawful conduct and sharing certain characteristics can be compensated collectively</w:t>
      </w:r>
      <w:r w:rsidR="00F523C3" w:rsidRPr="0089559A">
        <w:rPr>
          <w:sz w:val="22"/>
          <w:szCs w:val="22"/>
          <w:lang w:val="en-GB"/>
        </w:rPr>
        <w:t>.</w:t>
      </w:r>
      <w:r w:rsidR="002644C6" w:rsidRPr="0089559A">
        <w:rPr>
          <w:rStyle w:val="Rimandonotaapidipagina"/>
          <w:sz w:val="22"/>
          <w:szCs w:val="22"/>
          <w:lang w:val="en-GB"/>
        </w:rPr>
        <w:footnoteReference w:id="38"/>
      </w:r>
      <w:r w:rsidR="00F523C3" w:rsidRPr="00CA53A1">
        <w:rPr>
          <w:sz w:val="22"/>
          <w:szCs w:val="22"/>
          <w:lang w:val="en-GB"/>
        </w:rPr>
        <w:t xml:space="preserve"> </w:t>
      </w:r>
      <w:r w:rsidRPr="0089559A">
        <w:rPr>
          <w:sz w:val="22"/>
          <w:szCs w:val="22"/>
          <w:lang w:val="en-GB"/>
        </w:rPr>
        <w:t>In such cases, judges generally calculate a lump sum which the defendant shall pay, and then award each class member a percentage of the total. Although damages are undoubtedly awarded imprecisely via this method, it is also true that without collective redress, the injured parties would not be compensated at all.</w:t>
      </w:r>
    </w:p>
    <w:p w14:paraId="09A106A9" w14:textId="4A493C20" w:rsidR="00161FCC" w:rsidRPr="00CA53A1" w:rsidRDefault="0089559A" w:rsidP="00621335">
      <w:pPr>
        <w:spacing w:after="120"/>
        <w:ind w:firstLine="567"/>
        <w:jc w:val="both"/>
        <w:rPr>
          <w:sz w:val="22"/>
          <w:szCs w:val="22"/>
          <w:lang w:val="en-GB"/>
        </w:rPr>
      </w:pPr>
      <w:r w:rsidRPr="0089559A">
        <w:rPr>
          <w:sz w:val="22"/>
          <w:szCs w:val="22"/>
          <w:lang w:val="en-GB"/>
        </w:rPr>
        <w:t>Bearing in mind all the potential advantages of aggregate litigation, it is necessary to ascertain if it has a legal basis under the GDPR. As far as EU data protection law is concerned, resorting to group actions is a controversial matter, given that the GDPR is built around the model of individual consent as the main legal basis for persona</w:t>
      </w:r>
      <w:r>
        <w:rPr>
          <w:sz w:val="22"/>
          <w:szCs w:val="22"/>
          <w:lang w:val="en-GB"/>
        </w:rPr>
        <w:t xml:space="preserve">l data processing. Similarly, </w:t>
      </w:r>
      <w:r w:rsidRPr="0089559A">
        <w:rPr>
          <w:sz w:val="22"/>
          <w:szCs w:val="22"/>
          <w:lang w:val="en-GB"/>
        </w:rPr>
        <w:t>the remedial system l</w:t>
      </w:r>
      <w:r w:rsidR="009D5A9B">
        <w:rPr>
          <w:sz w:val="22"/>
          <w:szCs w:val="22"/>
          <w:lang w:val="en-GB"/>
        </w:rPr>
        <w:t>aid down in Chapter VIII GDPR (</w:t>
      </w:r>
      <w:r w:rsidRPr="0089559A">
        <w:rPr>
          <w:sz w:val="22"/>
          <w:szCs w:val="22"/>
          <w:lang w:val="en-GB"/>
        </w:rPr>
        <w:t>Re</w:t>
      </w:r>
      <w:r w:rsidR="009D5A9B">
        <w:rPr>
          <w:sz w:val="22"/>
          <w:szCs w:val="22"/>
          <w:lang w:val="en-GB"/>
        </w:rPr>
        <w:t>medies, liability and penalties</w:t>
      </w:r>
      <w:r w:rsidRPr="0089559A">
        <w:rPr>
          <w:sz w:val="22"/>
          <w:szCs w:val="22"/>
          <w:lang w:val="en-GB"/>
        </w:rPr>
        <w:t>) would seem essentially individualistic</w:t>
      </w:r>
      <w:r w:rsidR="006A0390" w:rsidRPr="00CA53A1">
        <w:rPr>
          <w:sz w:val="22"/>
          <w:szCs w:val="22"/>
          <w:lang w:val="en-GB"/>
        </w:rPr>
        <w:t>.</w:t>
      </w:r>
      <w:r w:rsidR="00763B07" w:rsidRPr="00CA53A1">
        <w:rPr>
          <w:rStyle w:val="Rimandonotaapidipagina"/>
          <w:sz w:val="22"/>
          <w:szCs w:val="22"/>
          <w:lang w:val="en-GB"/>
        </w:rPr>
        <w:footnoteReference w:id="39"/>
      </w:r>
      <w:r w:rsidR="00AF7835" w:rsidRPr="00CA53A1">
        <w:rPr>
          <w:sz w:val="22"/>
          <w:szCs w:val="22"/>
          <w:lang w:val="en-GB"/>
        </w:rPr>
        <w:t xml:space="preserve"> </w:t>
      </w:r>
    </w:p>
    <w:p w14:paraId="1EDCD821" w14:textId="24F16770" w:rsidR="00513D89" w:rsidRDefault="00AF7835" w:rsidP="0089559A">
      <w:pPr>
        <w:spacing w:after="120"/>
        <w:ind w:firstLine="567"/>
        <w:jc w:val="both"/>
        <w:rPr>
          <w:sz w:val="22"/>
          <w:szCs w:val="22"/>
          <w:lang w:val="en-GB"/>
        </w:rPr>
      </w:pPr>
      <w:r w:rsidRPr="00CA53A1">
        <w:rPr>
          <w:sz w:val="22"/>
          <w:szCs w:val="22"/>
          <w:lang w:val="en-GB"/>
        </w:rPr>
        <w:t xml:space="preserve">Nevertheless, </w:t>
      </w:r>
      <w:r w:rsidR="00542EF2" w:rsidRPr="00CA53A1">
        <w:rPr>
          <w:sz w:val="22"/>
          <w:szCs w:val="22"/>
          <w:lang w:val="en-GB"/>
        </w:rPr>
        <w:t>a</w:t>
      </w:r>
      <w:r w:rsidR="001A1B26" w:rsidRPr="00CA53A1">
        <w:rPr>
          <w:sz w:val="22"/>
          <w:szCs w:val="22"/>
          <w:lang w:val="en-GB"/>
        </w:rPr>
        <w:t xml:space="preserve"> legal basis for </w:t>
      </w:r>
      <w:r w:rsidR="009E6594" w:rsidRPr="00CA53A1">
        <w:rPr>
          <w:sz w:val="22"/>
          <w:szCs w:val="22"/>
          <w:lang w:val="en-GB"/>
        </w:rPr>
        <w:t>collective redress</w:t>
      </w:r>
      <w:r w:rsidR="0083469D" w:rsidRPr="00CA53A1">
        <w:rPr>
          <w:sz w:val="22"/>
          <w:szCs w:val="22"/>
          <w:lang w:val="en-GB"/>
        </w:rPr>
        <w:t xml:space="preserve"> might be found in article </w:t>
      </w:r>
      <w:r w:rsidR="001A1B26" w:rsidRPr="00CA53A1">
        <w:rPr>
          <w:sz w:val="22"/>
          <w:szCs w:val="22"/>
          <w:lang w:val="en-GB"/>
        </w:rPr>
        <w:t xml:space="preserve">80 </w:t>
      </w:r>
      <w:r w:rsidR="00542EF2" w:rsidRPr="00CA53A1">
        <w:rPr>
          <w:sz w:val="22"/>
          <w:szCs w:val="22"/>
          <w:lang w:val="en-GB"/>
        </w:rPr>
        <w:t>GDPR</w:t>
      </w:r>
      <w:r w:rsidR="006A0390" w:rsidRPr="00CA53A1">
        <w:rPr>
          <w:sz w:val="22"/>
          <w:szCs w:val="22"/>
          <w:lang w:val="en-GB"/>
        </w:rPr>
        <w:t>.</w:t>
      </w:r>
      <w:r w:rsidR="00E039FA" w:rsidRPr="00CA53A1">
        <w:rPr>
          <w:rStyle w:val="Rimandonotaapidipagina"/>
          <w:sz w:val="22"/>
          <w:szCs w:val="22"/>
          <w:lang w:val="en-GB"/>
        </w:rPr>
        <w:footnoteReference w:id="40"/>
      </w:r>
      <w:r w:rsidR="00EE4B7C" w:rsidRPr="00CA53A1">
        <w:rPr>
          <w:sz w:val="22"/>
          <w:szCs w:val="22"/>
          <w:lang w:val="en-GB"/>
        </w:rPr>
        <w:t xml:space="preserve"> </w:t>
      </w:r>
      <w:r w:rsidR="0089559A" w:rsidRPr="0089559A">
        <w:rPr>
          <w:sz w:val="22"/>
          <w:szCs w:val="22"/>
          <w:lang w:val="en-GB"/>
        </w:rPr>
        <w:t>This allows</w:t>
      </w:r>
      <w:r w:rsidR="009D5A9B">
        <w:rPr>
          <w:sz w:val="22"/>
          <w:szCs w:val="22"/>
          <w:lang w:val="en-GB"/>
        </w:rPr>
        <w:t xml:space="preserve"> Member States’ laws to permit ‘</w:t>
      </w:r>
      <w:r w:rsidR="0089559A" w:rsidRPr="0089559A">
        <w:rPr>
          <w:sz w:val="22"/>
          <w:szCs w:val="22"/>
          <w:lang w:val="en-GB"/>
        </w:rPr>
        <w:t>bodies,</w:t>
      </w:r>
      <w:r w:rsidR="009D5A9B">
        <w:rPr>
          <w:sz w:val="22"/>
          <w:szCs w:val="22"/>
          <w:lang w:val="en-GB"/>
        </w:rPr>
        <w:t xml:space="preserve"> organizations and associations’</w:t>
      </w:r>
      <w:r w:rsidR="0089559A" w:rsidRPr="0089559A">
        <w:rPr>
          <w:sz w:val="22"/>
          <w:szCs w:val="22"/>
          <w:lang w:val="en-GB"/>
        </w:rPr>
        <w:t xml:space="preserve"> to lodge a complaint with a Supervisory Authority, or to ask for a judicial remedy, with or without a data subject’s mandate, when the rights of the data subjects have been infringed. Even though Recital 142 seems to allow an organisation to act on</w:t>
      </w:r>
      <w:r w:rsidR="009D5A9B">
        <w:rPr>
          <w:sz w:val="22"/>
          <w:szCs w:val="22"/>
          <w:lang w:val="en-GB"/>
        </w:rPr>
        <w:t xml:space="preserve"> behalf of a multitude of data subjects</w:t>
      </w:r>
      <w:r w:rsidR="0089559A" w:rsidRPr="0089559A">
        <w:rPr>
          <w:sz w:val="22"/>
          <w:szCs w:val="22"/>
          <w:lang w:val="en-GB"/>
        </w:rPr>
        <w:t xml:space="preserve">, article 80 does not state this explicitly. Recently, this has been addressed by the </w:t>
      </w:r>
      <w:r w:rsidR="00394C6C">
        <w:rPr>
          <w:sz w:val="22"/>
          <w:szCs w:val="22"/>
          <w:lang w:val="en-GB"/>
        </w:rPr>
        <w:t>ECJ</w:t>
      </w:r>
      <w:r w:rsidR="0089559A" w:rsidRPr="0089559A">
        <w:rPr>
          <w:sz w:val="22"/>
          <w:szCs w:val="22"/>
          <w:lang w:val="en-GB"/>
        </w:rPr>
        <w:t xml:space="preserve"> in the </w:t>
      </w:r>
      <w:r w:rsidR="0089559A" w:rsidRPr="007B35B4">
        <w:rPr>
          <w:i/>
          <w:sz w:val="22"/>
          <w:szCs w:val="22"/>
          <w:lang w:val="en-GB"/>
        </w:rPr>
        <w:t>Meta Platforms</w:t>
      </w:r>
      <w:r w:rsidR="0089559A" w:rsidRPr="0089559A">
        <w:rPr>
          <w:sz w:val="22"/>
          <w:szCs w:val="22"/>
          <w:lang w:val="en-GB"/>
        </w:rPr>
        <w:t xml:space="preserve"> case, which will be examin</w:t>
      </w:r>
      <w:r w:rsidR="0089559A">
        <w:rPr>
          <w:sz w:val="22"/>
          <w:szCs w:val="22"/>
          <w:lang w:val="en-GB"/>
        </w:rPr>
        <w:t>ed further in the next Chapters.</w:t>
      </w:r>
    </w:p>
    <w:p w14:paraId="66D8E220" w14:textId="77777777" w:rsidR="007A402C" w:rsidRPr="00CA53A1" w:rsidRDefault="007A402C" w:rsidP="00294D03">
      <w:pPr>
        <w:jc w:val="both"/>
        <w:rPr>
          <w:sz w:val="22"/>
          <w:szCs w:val="22"/>
          <w:lang w:val="en-GB"/>
        </w:rPr>
      </w:pPr>
    </w:p>
    <w:p w14:paraId="3B8066A8" w14:textId="685D6A14" w:rsidR="009028B3" w:rsidRPr="00CA53A1" w:rsidRDefault="00867F97" w:rsidP="00294D03">
      <w:pPr>
        <w:jc w:val="both"/>
        <w:outlineLvl w:val="0"/>
        <w:rPr>
          <w:b/>
          <w:sz w:val="22"/>
          <w:szCs w:val="22"/>
          <w:lang w:val="en-GB"/>
        </w:rPr>
      </w:pPr>
      <w:r>
        <w:rPr>
          <w:b/>
          <w:sz w:val="22"/>
          <w:szCs w:val="22"/>
          <w:lang w:val="en-GB"/>
        </w:rPr>
        <w:t>III</w:t>
      </w:r>
      <w:r w:rsidR="00C97E31" w:rsidRPr="00CA53A1">
        <w:rPr>
          <w:b/>
          <w:sz w:val="22"/>
          <w:szCs w:val="22"/>
          <w:lang w:val="en-GB"/>
        </w:rPr>
        <w:t xml:space="preserve">. </w:t>
      </w:r>
      <w:r>
        <w:rPr>
          <w:b/>
          <w:sz w:val="22"/>
          <w:szCs w:val="22"/>
          <w:lang w:val="en-GB"/>
        </w:rPr>
        <w:t xml:space="preserve">Chapter 2 </w:t>
      </w:r>
      <w:r w:rsidR="00C97E31" w:rsidRPr="00CA53A1">
        <w:rPr>
          <w:b/>
          <w:sz w:val="22"/>
          <w:szCs w:val="22"/>
          <w:lang w:val="en-GB"/>
        </w:rPr>
        <w:t xml:space="preserve">Article 80 GDPR: </w:t>
      </w:r>
      <w:r w:rsidR="00E72E6E" w:rsidRPr="00CA53A1">
        <w:rPr>
          <w:b/>
          <w:sz w:val="22"/>
          <w:szCs w:val="22"/>
          <w:lang w:val="en-GB"/>
        </w:rPr>
        <w:t xml:space="preserve">is there </w:t>
      </w:r>
      <w:r w:rsidR="00C97E31" w:rsidRPr="00CA53A1">
        <w:rPr>
          <w:b/>
          <w:sz w:val="22"/>
          <w:szCs w:val="22"/>
          <w:lang w:val="en-GB"/>
        </w:rPr>
        <w:t xml:space="preserve">a legal basis for </w:t>
      </w:r>
      <w:r w:rsidR="0032759C" w:rsidRPr="00CA53A1">
        <w:rPr>
          <w:b/>
          <w:sz w:val="22"/>
          <w:szCs w:val="22"/>
          <w:lang w:val="en-GB"/>
        </w:rPr>
        <w:t>group actions</w:t>
      </w:r>
      <w:r w:rsidR="00C97E31" w:rsidRPr="00CA53A1">
        <w:rPr>
          <w:b/>
          <w:sz w:val="22"/>
          <w:szCs w:val="22"/>
          <w:lang w:val="en-GB"/>
        </w:rPr>
        <w:t xml:space="preserve"> in data protection law?</w:t>
      </w:r>
    </w:p>
    <w:p w14:paraId="3E868CD0" w14:textId="77777777" w:rsidR="00C97E31" w:rsidRPr="00CA53A1" w:rsidRDefault="00C97E31" w:rsidP="00294D03">
      <w:pPr>
        <w:jc w:val="both"/>
        <w:rPr>
          <w:b/>
          <w:sz w:val="22"/>
          <w:szCs w:val="22"/>
          <w:lang w:val="en-GB"/>
        </w:rPr>
      </w:pPr>
    </w:p>
    <w:p w14:paraId="283B8C5B" w14:textId="41B4BA8B" w:rsidR="00161FCC" w:rsidRPr="00CA53A1" w:rsidRDefault="006E61E2" w:rsidP="00621335">
      <w:pPr>
        <w:spacing w:after="120"/>
        <w:ind w:firstLine="567"/>
        <w:jc w:val="both"/>
        <w:rPr>
          <w:sz w:val="22"/>
          <w:szCs w:val="22"/>
          <w:lang w:val="en-GB"/>
        </w:rPr>
      </w:pPr>
      <w:r w:rsidRPr="00CA53A1">
        <w:rPr>
          <w:sz w:val="22"/>
          <w:szCs w:val="22"/>
          <w:lang w:val="en-GB"/>
        </w:rPr>
        <w:t>In Europe, t</w:t>
      </w:r>
      <w:r w:rsidR="003B221E" w:rsidRPr="00CA53A1">
        <w:rPr>
          <w:sz w:val="22"/>
          <w:szCs w:val="22"/>
          <w:lang w:val="en-GB"/>
        </w:rPr>
        <w:t>he</w:t>
      </w:r>
      <w:r w:rsidR="00133608" w:rsidRPr="00CA53A1">
        <w:rPr>
          <w:sz w:val="22"/>
          <w:szCs w:val="22"/>
          <w:lang w:val="en-GB"/>
        </w:rPr>
        <w:t xml:space="preserve"> topic of collective </w:t>
      </w:r>
      <w:r w:rsidR="00297146" w:rsidRPr="00CA53A1">
        <w:rPr>
          <w:sz w:val="22"/>
          <w:szCs w:val="22"/>
          <w:lang w:val="en-GB"/>
        </w:rPr>
        <w:t>actions</w:t>
      </w:r>
      <w:r w:rsidR="00133608" w:rsidRPr="00CA53A1">
        <w:rPr>
          <w:sz w:val="22"/>
          <w:szCs w:val="22"/>
          <w:lang w:val="en-GB"/>
        </w:rPr>
        <w:t xml:space="preserve"> </w:t>
      </w:r>
      <w:r w:rsidR="00297146" w:rsidRPr="00CA53A1">
        <w:rPr>
          <w:sz w:val="22"/>
          <w:szCs w:val="22"/>
          <w:lang w:val="en-GB"/>
        </w:rPr>
        <w:t>in</w:t>
      </w:r>
      <w:r w:rsidR="00133608" w:rsidRPr="00CA53A1">
        <w:rPr>
          <w:sz w:val="22"/>
          <w:szCs w:val="22"/>
          <w:lang w:val="en-GB"/>
        </w:rPr>
        <w:t xml:space="preserve"> data protection law </w:t>
      </w:r>
      <w:r w:rsidR="00F86BCF" w:rsidRPr="00CA53A1">
        <w:rPr>
          <w:sz w:val="22"/>
          <w:szCs w:val="22"/>
          <w:lang w:val="en-GB"/>
        </w:rPr>
        <w:t xml:space="preserve">has not been </w:t>
      </w:r>
      <w:r w:rsidR="00B05DB2" w:rsidRPr="00CA53A1">
        <w:rPr>
          <w:sz w:val="22"/>
          <w:szCs w:val="22"/>
          <w:lang w:val="en-GB"/>
        </w:rPr>
        <w:t>researched</w:t>
      </w:r>
      <w:r w:rsidR="00F86BCF" w:rsidRPr="00CA53A1">
        <w:rPr>
          <w:sz w:val="22"/>
          <w:szCs w:val="22"/>
          <w:lang w:val="en-GB"/>
        </w:rPr>
        <w:t xml:space="preserve"> </w:t>
      </w:r>
      <w:r w:rsidR="00B05DB2" w:rsidRPr="00CA53A1">
        <w:rPr>
          <w:sz w:val="22"/>
          <w:szCs w:val="22"/>
          <w:lang w:val="en-GB"/>
        </w:rPr>
        <w:t>in depth</w:t>
      </w:r>
      <w:r w:rsidR="00861D16" w:rsidRPr="00CA53A1">
        <w:rPr>
          <w:sz w:val="22"/>
          <w:szCs w:val="22"/>
          <w:lang w:val="en-GB"/>
        </w:rPr>
        <w:t>,</w:t>
      </w:r>
      <w:r w:rsidR="0073744E" w:rsidRPr="00CA53A1">
        <w:rPr>
          <w:sz w:val="22"/>
          <w:szCs w:val="22"/>
          <w:lang w:val="en-GB"/>
        </w:rPr>
        <w:t xml:space="preserve"> for </w:t>
      </w:r>
      <w:r w:rsidR="00CD15E7" w:rsidRPr="00CA53A1">
        <w:rPr>
          <w:sz w:val="22"/>
          <w:szCs w:val="22"/>
          <w:lang w:val="en-GB"/>
        </w:rPr>
        <w:t>several</w:t>
      </w:r>
      <w:r w:rsidR="00F86BCF" w:rsidRPr="00CA53A1">
        <w:rPr>
          <w:sz w:val="22"/>
          <w:szCs w:val="22"/>
          <w:lang w:val="en-GB"/>
        </w:rPr>
        <w:t xml:space="preserve"> reasons.</w:t>
      </w:r>
      <w:r w:rsidR="00133608" w:rsidRPr="00CA53A1">
        <w:rPr>
          <w:sz w:val="22"/>
          <w:szCs w:val="22"/>
          <w:lang w:val="en-GB"/>
        </w:rPr>
        <w:t xml:space="preserve"> </w:t>
      </w:r>
    </w:p>
    <w:p w14:paraId="3281A89C" w14:textId="22E94C83" w:rsidR="009E321C" w:rsidRPr="00CA53A1" w:rsidRDefault="0089559A" w:rsidP="00621335">
      <w:pPr>
        <w:spacing w:after="120"/>
        <w:ind w:firstLine="567"/>
        <w:jc w:val="both"/>
        <w:rPr>
          <w:sz w:val="22"/>
          <w:szCs w:val="22"/>
          <w:lang w:val="en-GB"/>
        </w:rPr>
      </w:pPr>
      <w:r w:rsidRPr="0089559A">
        <w:rPr>
          <w:sz w:val="22"/>
          <w:szCs w:val="22"/>
          <w:lang w:val="en-GB"/>
        </w:rPr>
        <w:t>First of all, in the immediate aftermath of the GDPR implementation, the disruptive scope of personal data processing had yet to be seen. Nor was it possible to foresee the enormous success of the Regulation, which is now considered a virtuous model worldwide (the ‘</w:t>
      </w:r>
      <w:r w:rsidRPr="009D5A9B">
        <w:rPr>
          <w:sz w:val="22"/>
          <w:szCs w:val="22"/>
          <w:lang w:val="en-GB"/>
        </w:rPr>
        <w:t>Brussels effect’</w:t>
      </w:r>
      <w:r w:rsidR="00133608" w:rsidRPr="00CA53A1">
        <w:rPr>
          <w:sz w:val="22"/>
          <w:szCs w:val="22"/>
          <w:lang w:val="en-GB"/>
        </w:rPr>
        <w:t>)</w:t>
      </w:r>
      <w:r w:rsidR="006E61E2" w:rsidRPr="00CA53A1">
        <w:rPr>
          <w:i/>
          <w:sz w:val="22"/>
          <w:szCs w:val="22"/>
          <w:lang w:val="en-GB"/>
        </w:rPr>
        <w:t>.</w:t>
      </w:r>
      <w:r w:rsidR="00EA7140" w:rsidRPr="00CA53A1">
        <w:rPr>
          <w:rStyle w:val="Rimandonotaapidipagina"/>
          <w:sz w:val="22"/>
          <w:szCs w:val="22"/>
          <w:lang w:val="en-GB"/>
        </w:rPr>
        <w:footnoteReference w:id="41"/>
      </w:r>
      <w:r w:rsidR="00133608" w:rsidRPr="00CA53A1">
        <w:rPr>
          <w:sz w:val="22"/>
          <w:szCs w:val="22"/>
          <w:lang w:val="en-GB"/>
        </w:rPr>
        <w:t xml:space="preserve"> </w:t>
      </w:r>
      <w:r w:rsidRPr="0089559A">
        <w:rPr>
          <w:sz w:val="22"/>
          <w:szCs w:val="22"/>
          <w:lang w:val="en-GB"/>
        </w:rPr>
        <w:t xml:space="preserve">Moreover, legal scholars </w:t>
      </w:r>
      <w:r w:rsidR="002B7185">
        <w:rPr>
          <w:sz w:val="22"/>
          <w:szCs w:val="22"/>
          <w:lang w:val="en-GB"/>
        </w:rPr>
        <w:t xml:space="preserve">have tended to focus </w:t>
      </w:r>
      <w:r w:rsidRPr="0089559A">
        <w:rPr>
          <w:sz w:val="22"/>
          <w:szCs w:val="22"/>
          <w:lang w:val="en-GB"/>
        </w:rPr>
        <w:t>on the main innovations introduced by the GDPR as compared to the previous piece of legislation (Directive 95/46/EC)</w:t>
      </w:r>
      <w:r>
        <w:rPr>
          <w:sz w:val="22"/>
          <w:szCs w:val="22"/>
          <w:lang w:val="en-GB"/>
        </w:rPr>
        <w:t xml:space="preserve">, </w:t>
      </w:r>
      <w:r w:rsidR="00EA7140" w:rsidRPr="00CA53A1">
        <w:rPr>
          <w:rStyle w:val="Rimandonotaapidipagina"/>
          <w:sz w:val="22"/>
          <w:szCs w:val="22"/>
          <w:lang w:val="en-GB"/>
        </w:rPr>
        <w:footnoteReference w:id="42"/>
      </w:r>
      <w:r w:rsidR="00AE19A1" w:rsidRPr="00CA53A1">
        <w:rPr>
          <w:sz w:val="22"/>
          <w:szCs w:val="22"/>
          <w:lang w:val="en-GB"/>
        </w:rPr>
        <w:t xml:space="preserve"> </w:t>
      </w:r>
      <w:r w:rsidR="009D5A9B">
        <w:rPr>
          <w:sz w:val="22"/>
          <w:szCs w:val="22"/>
          <w:lang w:val="en-GB"/>
        </w:rPr>
        <w:t>for example regarding the ‘</w:t>
      </w:r>
      <w:r w:rsidRPr="0089559A">
        <w:rPr>
          <w:sz w:val="22"/>
          <w:szCs w:val="22"/>
          <w:lang w:val="en-GB"/>
        </w:rPr>
        <w:t>rights of the data subject</w:t>
      </w:r>
      <w:r w:rsidR="009D5A9B">
        <w:rPr>
          <w:sz w:val="22"/>
          <w:szCs w:val="22"/>
          <w:lang w:val="en-GB"/>
        </w:rPr>
        <w:t>’</w:t>
      </w:r>
      <w:r>
        <w:rPr>
          <w:sz w:val="22"/>
          <w:szCs w:val="22"/>
          <w:lang w:val="en-GB"/>
        </w:rPr>
        <w:t xml:space="preserve"> (Chapter III, articles 15</w:t>
      </w:r>
      <w:r w:rsidR="009D5A9B">
        <w:rPr>
          <w:sz w:val="22"/>
          <w:szCs w:val="22"/>
          <w:lang w:val="en-GB"/>
        </w:rPr>
        <w:t xml:space="preserve"> </w:t>
      </w:r>
      <w:r>
        <w:rPr>
          <w:sz w:val="22"/>
          <w:szCs w:val="22"/>
          <w:lang w:val="en-GB"/>
        </w:rPr>
        <w:t>ff</w:t>
      </w:r>
      <w:r w:rsidR="00861D16" w:rsidRPr="00CA53A1">
        <w:rPr>
          <w:sz w:val="22"/>
          <w:szCs w:val="22"/>
          <w:lang w:val="en-GB"/>
        </w:rPr>
        <w:t xml:space="preserve"> </w:t>
      </w:r>
      <w:r w:rsidR="00F2050C" w:rsidRPr="00CA53A1">
        <w:rPr>
          <w:sz w:val="22"/>
          <w:szCs w:val="22"/>
          <w:lang w:val="en-GB"/>
        </w:rPr>
        <w:t>GDPR)</w:t>
      </w:r>
      <w:r w:rsidR="003B221E" w:rsidRPr="00CA53A1">
        <w:rPr>
          <w:sz w:val="22"/>
          <w:szCs w:val="22"/>
          <w:lang w:val="en-GB"/>
        </w:rPr>
        <w:t>.</w:t>
      </w:r>
      <w:r w:rsidR="009E321C" w:rsidRPr="00CA53A1">
        <w:rPr>
          <w:sz w:val="22"/>
          <w:szCs w:val="22"/>
          <w:lang w:val="en-GB"/>
        </w:rPr>
        <w:t xml:space="preserve"> </w:t>
      </w:r>
      <w:r w:rsidR="000C3CB6">
        <w:rPr>
          <w:sz w:val="22"/>
          <w:szCs w:val="22"/>
          <w:lang w:val="en-GB"/>
        </w:rPr>
        <w:t>Lastly</w:t>
      </w:r>
      <w:r w:rsidR="00DB30CF" w:rsidRPr="00CA53A1">
        <w:rPr>
          <w:sz w:val="22"/>
          <w:szCs w:val="22"/>
          <w:lang w:val="en-GB"/>
        </w:rPr>
        <w:t xml:space="preserve">, </w:t>
      </w:r>
      <w:r w:rsidR="00382610" w:rsidRPr="00CA53A1">
        <w:rPr>
          <w:sz w:val="22"/>
          <w:szCs w:val="22"/>
          <w:lang w:val="en-GB"/>
        </w:rPr>
        <w:t>the enforcement of data protection law has been carried out almost exclusively by Supervisory Authorities</w:t>
      </w:r>
      <w:r w:rsidR="006E61E2" w:rsidRPr="00CA53A1">
        <w:rPr>
          <w:sz w:val="22"/>
          <w:szCs w:val="22"/>
          <w:lang w:val="en-GB"/>
        </w:rPr>
        <w:t xml:space="preserve"> so far</w:t>
      </w:r>
      <w:r w:rsidR="00220C73">
        <w:rPr>
          <w:sz w:val="22"/>
          <w:szCs w:val="22"/>
          <w:lang w:val="en-GB"/>
        </w:rPr>
        <w:t>, therefore outside the sphere of private enforcement</w:t>
      </w:r>
      <w:r w:rsidR="00EA7140" w:rsidRPr="00CA53A1">
        <w:rPr>
          <w:sz w:val="22"/>
          <w:szCs w:val="22"/>
          <w:lang w:val="en-GB"/>
        </w:rPr>
        <w:t>.</w:t>
      </w:r>
      <w:r w:rsidR="00EA7140" w:rsidRPr="00CA53A1">
        <w:rPr>
          <w:rStyle w:val="Rimandonotaapidipagina"/>
          <w:sz w:val="22"/>
          <w:szCs w:val="22"/>
          <w:lang w:val="en-GB"/>
        </w:rPr>
        <w:footnoteReference w:id="43"/>
      </w:r>
    </w:p>
    <w:p w14:paraId="58C94569" w14:textId="1EB1B3F6" w:rsidR="009A4A87" w:rsidRPr="00CA53A1" w:rsidRDefault="00B3277C" w:rsidP="00621335">
      <w:pPr>
        <w:spacing w:after="120"/>
        <w:ind w:firstLine="567"/>
        <w:jc w:val="both"/>
        <w:rPr>
          <w:sz w:val="22"/>
          <w:szCs w:val="22"/>
          <w:lang w:val="en-GB"/>
        </w:rPr>
      </w:pPr>
      <w:r w:rsidRPr="00B3277C">
        <w:rPr>
          <w:sz w:val="22"/>
          <w:szCs w:val="22"/>
          <w:lang w:val="en-GB"/>
        </w:rPr>
        <w:lastRenderedPageBreak/>
        <w:t>Such an emphasis on public enforcement applies to almost all European countries. EU legislation has mainly intervened in substantive law, leaving its private enforcement to Member States</w:t>
      </w:r>
      <w:r w:rsidR="001823DA" w:rsidRPr="00CA53A1">
        <w:rPr>
          <w:sz w:val="22"/>
          <w:szCs w:val="22"/>
          <w:lang w:val="en-GB"/>
        </w:rPr>
        <w:t>.</w:t>
      </w:r>
      <w:r w:rsidR="00EA7140" w:rsidRPr="00CA53A1">
        <w:rPr>
          <w:rStyle w:val="Rimandonotaapidipagina"/>
          <w:sz w:val="22"/>
          <w:szCs w:val="22"/>
          <w:lang w:val="en-GB"/>
        </w:rPr>
        <w:footnoteReference w:id="44"/>
      </w:r>
      <w:r w:rsidR="001823DA" w:rsidRPr="00CA53A1">
        <w:rPr>
          <w:sz w:val="22"/>
          <w:szCs w:val="22"/>
          <w:lang w:val="en-GB"/>
        </w:rPr>
        <w:t xml:space="preserve"> </w:t>
      </w:r>
      <w:r w:rsidR="00627A34" w:rsidRPr="00CA53A1">
        <w:rPr>
          <w:sz w:val="22"/>
          <w:szCs w:val="22"/>
          <w:lang w:val="en-GB"/>
        </w:rPr>
        <w:t>Hence</w:t>
      </w:r>
      <w:r w:rsidR="003B221E" w:rsidRPr="00CA53A1">
        <w:rPr>
          <w:sz w:val="22"/>
          <w:szCs w:val="22"/>
          <w:lang w:val="en-GB"/>
        </w:rPr>
        <w:t xml:space="preserve">, </w:t>
      </w:r>
      <w:r w:rsidR="00826D8B" w:rsidRPr="00CA53A1">
        <w:rPr>
          <w:sz w:val="22"/>
          <w:szCs w:val="22"/>
          <w:lang w:val="en-GB"/>
        </w:rPr>
        <w:t xml:space="preserve">private enforcement in the EU has been </w:t>
      </w:r>
      <w:r w:rsidR="00220C73">
        <w:rPr>
          <w:sz w:val="22"/>
          <w:szCs w:val="22"/>
          <w:lang w:val="en-GB"/>
        </w:rPr>
        <w:t>conceived</w:t>
      </w:r>
      <w:r w:rsidR="00990E63" w:rsidRPr="00CA53A1">
        <w:rPr>
          <w:sz w:val="22"/>
          <w:szCs w:val="22"/>
          <w:lang w:val="en-GB"/>
        </w:rPr>
        <w:t xml:space="preserve"> as</w:t>
      </w:r>
      <w:r w:rsidR="009D5A9B">
        <w:rPr>
          <w:sz w:val="22"/>
          <w:szCs w:val="22"/>
          <w:lang w:val="en-GB"/>
        </w:rPr>
        <w:t xml:space="preserve"> ‘</w:t>
      </w:r>
      <w:r w:rsidR="00826D8B" w:rsidRPr="00CA53A1">
        <w:rPr>
          <w:sz w:val="22"/>
          <w:szCs w:val="22"/>
          <w:lang w:val="en-GB"/>
        </w:rPr>
        <w:t>a fantastic beast</w:t>
      </w:r>
      <w:r w:rsidR="009839AB" w:rsidRPr="00CA53A1">
        <w:rPr>
          <w:rStyle w:val="Rimandonotaapidipagina"/>
          <w:sz w:val="22"/>
          <w:szCs w:val="22"/>
          <w:lang w:val="en-GB"/>
        </w:rPr>
        <w:footnoteReference w:id="45"/>
      </w:r>
      <w:r w:rsidR="009D5A9B">
        <w:rPr>
          <w:sz w:val="22"/>
          <w:szCs w:val="22"/>
          <w:lang w:val="en-GB"/>
        </w:rPr>
        <w:t>’</w:t>
      </w:r>
      <w:r w:rsidR="001C2B49" w:rsidRPr="00CA53A1">
        <w:rPr>
          <w:sz w:val="22"/>
          <w:szCs w:val="22"/>
          <w:lang w:val="en-GB"/>
        </w:rPr>
        <w:t xml:space="preserve">. </w:t>
      </w:r>
      <w:r w:rsidRPr="00B3277C">
        <w:rPr>
          <w:sz w:val="22"/>
          <w:szCs w:val="22"/>
          <w:lang w:val="en-GB"/>
        </w:rPr>
        <w:t xml:space="preserve">The procedural autonomy principle, devised by the </w:t>
      </w:r>
      <w:r w:rsidR="00394C6C">
        <w:rPr>
          <w:sz w:val="22"/>
          <w:szCs w:val="22"/>
          <w:lang w:val="en-GB"/>
        </w:rPr>
        <w:t>ECJ</w:t>
      </w:r>
      <w:r w:rsidRPr="00B3277C">
        <w:rPr>
          <w:sz w:val="22"/>
          <w:szCs w:val="22"/>
          <w:lang w:val="en-GB"/>
        </w:rPr>
        <w:t xml:space="preserve">, precludes the EU from intervening in procedural law matters. Indeed, civil procedure is </w:t>
      </w:r>
      <w:r>
        <w:rPr>
          <w:sz w:val="22"/>
          <w:szCs w:val="22"/>
          <w:lang w:val="en-GB"/>
        </w:rPr>
        <w:t>a</w:t>
      </w:r>
      <w:r w:rsidRPr="00B3277C">
        <w:rPr>
          <w:sz w:val="22"/>
          <w:szCs w:val="22"/>
          <w:lang w:val="en-GB"/>
        </w:rPr>
        <w:t xml:space="preserve"> branch of law closely tied to national legal traditions, and where legal certainty is pivotal</w:t>
      </w:r>
      <w:r w:rsidR="00D27368" w:rsidRPr="00CA53A1">
        <w:rPr>
          <w:sz w:val="22"/>
          <w:szCs w:val="22"/>
          <w:lang w:val="en-GB"/>
        </w:rPr>
        <w:t>.</w:t>
      </w:r>
      <w:r w:rsidR="00EA7140" w:rsidRPr="00CA53A1">
        <w:rPr>
          <w:rStyle w:val="Rimandonotaapidipagina"/>
          <w:sz w:val="22"/>
          <w:szCs w:val="22"/>
          <w:lang w:val="en-GB"/>
        </w:rPr>
        <w:footnoteReference w:id="46"/>
      </w:r>
      <w:r w:rsidR="00D27368" w:rsidRPr="00CA53A1">
        <w:rPr>
          <w:sz w:val="22"/>
          <w:szCs w:val="22"/>
          <w:lang w:val="en-GB"/>
        </w:rPr>
        <w:t xml:space="preserve"> </w:t>
      </w:r>
    </w:p>
    <w:p w14:paraId="7635D8E3" w14:textId="73C49E48" w:rsidR="00826D8B" w:rsidRPr="00CA53A1" w:rsidRDefault="00B3277C" w:rsidP="00621335">
      <w:pPr>
        <w:spacing w:after="120"/>
        <w:ind w:firstLine="567"/>
        <w:jc w:val="both"/>
        <w:rPr>
          <w:sz w:val="22"/>
          <w:szCs w:val="22"/>
          <w:lang w:val="en-GB"/>
        </w:rPr>
      </w:pPr>
      <w:r w:rsidRPr="00B3277C">
        <w:rPr>
          <w:sz w:val="22"/>
          <w:szCs w:val="22"/>
          <w:lang w:val="en-GB"/>
        </w:rPr>
        <w:t xml:space="preserve">Nevertheless, resorting to the principle of effectiveness (laid down in article 47 CFR and in article 19 (1) TEU) and the principle of </w:t>
      </w:r>
      <w:r w:rsidRPr="00B3277C">
        <w:rPr>
          <w:i/>
          <w:sz w:val="22"/>
          <w:szCs w:val="22"/>
          <w:lang w:val="fr-FR"/>
        </w:rPr>
        <w:t>effet utile</w:t>
      </w:r>
      <w:r w:rsidRPr="00B3277C">
        <w:rPr>
          <w:i/>
          <w:sz w:val="22"/>
          <w:szCs w:val="22"/>
          <w:lang w:val="en-GB"/>
        </w:rPr>
        <w:t xml:space="preserve">, </w:t>
      </w:r>
      <w:r w:rsidRPr="00B3277C">
        <w:rPr>
          <w:sz w:val="22"/>
          <w:szCs w:val="22"/>
          <w:lang w:val="en-GB"/>
        </w:rPr>
        <w:t>the EU has been intervening more and more in procedural matters</w:t>
      </w:r>
      <w:r w:rsidR="00565B79" w:rsidRPr="00CA53A1">
        <w:rPr>
          <w:sz w:val="22"/>
          <w:szCs w:val="22"/>
          <w:lang w:val="en-GB"/>
        </w:rPr>
        <w:t>.</w:t>
      </w:r>
      <w:r w:rsidR="00EA7140" w:rsidRPr="00CA53A1">
        <w:rPr>
          <w:rStyle w:val="Rimandonotaapidipagina"/>
          <w:sz w:val="22"/>
          <w:szCs w:val="22"/>
          <w:lang w:val="en-GB"/>
        </w:rPr>
        <w:footnoteReference w:id="47"/>
      </w:r>
      <w:r w:rsidR="00884E63" w:rsidRPr="00CA53A1">
        <w:rPr>
          <w:sz w:val="22"/>
          <w:szCs w:val="22"/>
          <w:lang w:val="en-GB"/>
        </w:rPr>
        <w:t xml:space="preserve"> </w:t>
      </w:r>
      <w:r w:rsidRPr="00B3277C">
        <w:rPr>
          <w:sz w:val="22"/>
          <w:szCs w:val="22"/>
          <w:lang w:val="en-GB"/>
        </w:rPr>
        <w:t>In fact, the CFR affords a high degree of protection to consumers, providing them with adequate remedies and access to justice. Unsurprisingly then, some l</w:t>
      </w:r>
      <w:r w:rsidR="009D5A9B">
        <w:rPr>
          <w:sz w:val="22"/>
          <w:szCs w:val="22"/>
          <w:lang w:val="en-GB"/>
        </w:rPr>
        <w:t>egal scholars have talked of a ‘procedural consumer law’</w:t>
      </w:r>
      <w:r w:rsidRPr="00B3277C">
        <w:rPr>
          <w:sz w:val="22"/>
          <w:szCs w:val="22"/>
          <w:lang w:val="en-GB"/>
        </w:rPr>
        <w:t xml:space="preserve"> in the making</w:t>
      </w:r>
      <w:r>
        <w:rPr>
          <w:sz w:val="22"/>
          <w:szCs w:val="22"/>
          <w:lang w:val="en-GB"/>
        </w:rPr>
        <w:t>.</w:t>
      </w:r>
      <w:r w:rsidR="00506988" w:rsidRPr="00CA53A1">
        <w:rPr>
          <w:rStyle w:val="Rimandonotaapidipagina"/>
          <w:sz w:val="22"/>
          <w:szCs w:val="22"/>
          <w:lang w:val="en-GB"/>
        </w:rPr>
        <w:footnoteReference w:id="48"/>
      </w:r>
      <w:r w:rsidR="00982578" w:rsidRPr="00CA53A1">
        <w:rPr>
          <w:sz w:val="22"/>
          <w:szCs w:val="22"/>
          <w:lang w:val="en-GB"/>
        </w:rPr>
        <w:t xml:space="preserve"> </w:t>
      </w:r>
      <w:r w:rsidR="00BF4C74" w:rsidRPr="00CA53A1">
        <w:rPr>
          <w:sz w:val="22"/>
          <w:szCs w:val="22"/>
          <w:lang w:val="en-GB"/>
        </w:rPr>
        <w:t>Finally,</w:t>
      </w:r>
      <w:r w:rsidR="00982578" w:rsidRPr="00CA53A1">
        <w:rPr>
          <w:sz w:val="22"/>
          <w:szCs w:val="22"/>
          <w:lang w:val="en-GB"/>
        </w:rPr>
        <w:t xml:space="preserve"> the </w:t>
      </w:r>
      <w:r>
        <w:rPr>
          <w:sz w:val="22"/>
          <w:szCs w:val="22"/>
          <w:lang w:val="en-GB"/>
        </w:rPr>
        <w:t>above-</w:t>
      </w:r>
      <w:r w:rsidR="00FF2D92" w:rsidRPr="00CA53A1">
        <w:rPr>
          <w:sz w:val="22"/>
          <w:szCs w:val="22"/>
          <w:lang w:val="en-GB"/>
        </w:rPr>
        <w:t xml:space="preserve">mentioned </w:t>
      </w:r>
      <w:r w:rsidR="003D2843" w:rsidRPr="00CA53A1">
        <w:rPr>
          <w:sz w:val="22"/>
          <w:szCs w:val="22"/>
          <w:lang w:val="en-GB"/>
        </w:rPr>
        <w:t xml:space="preserve">Directive </w:t>
      </w:r>
      <w:r w:rsidR="00C44431">
        <w:rPr>
          <w:sz w:val="22"/>
          <w:szCs w:val="22"/>
          <w:lang w:val="en-GB"/>
        </w:rPr>
        <w:t>(</w:t>
      </w:r>
      <w:r w:rsidR="003D2843" w:rsidRPr="00CA53A1">
        <w:rPr>
          <w:sz w:val="22"/>
          <w:szCs w:val="22"/>
          <w:lang w:val="en-GB"/>
        </w:rPr>
        <w:t>EU</w:t>
      </w:r>
      <w:r w:rsidR="00C44431">
        <w:rPr>
          <w:sz w:val="22"/>
          <w:szCs w:val="22"/>
          <w:lang w:val="en-GB"/>
        </w:rPr>
        <w:t>)</w:t>
      </w:r>
      <w:r w:rsidR="003D2843" w:rsidRPr="00CA53A1">
        <w:rPr>
          <w:sz w:val="22"/>
          <w:szCs w:val="22"/>
          <w:lang w:val="en-GB"/>
        </w:rPr>
        <w:t xml:space="preserve"> </w:t>
      </w:r>
      <w:r w:rsidR="007C44FC" w:rsidRPr="00CA53A1">
        <w:rPr>
          <w:sz w:val="22"/>
          <w:szCs w:val="22"/>
          <w:lang w:val="en-GB"/>
        </w:rPr>
        <w:t>2020</w:t>
      </w:r>
      <w:r w:rsidR="003D2843" w:rsidRPr="00CA53A1">
        <w:rPr>
          <w:sz w:val="22"/>
          <w:szCs w:val="22"/>
          <w:lang w:val="en-GB"/>
        </w:rPr>
        <w:t>/1828</w:t>
      </w:r>
      <w:r w:rsidR="007C44FC" w:rsidRPr="00CA53A1">
        <w:rPr>
          <w:sz w:val="22"/>
          <w:szCs w:val="22"/>
          <w:lang w:val="en-GB"/>
        </w:rPr>
        <w:t xml:space="preserve"> </w:t>
      </w:r>
      <w:r w:rsidR="00982578" w:rsidRPr="00CA53A1">
        <w:rPr>
          <w:sz w:val="22"/>
          <w:szCs w:val="22"/>
          <w:lang w:val="en-GB"/>
        </w:rPr>
        <w:t>on consumer</w:t>
      </w:r>
      <w:r w:rsidR="0015209E">
        <w:rPr>
          <w:sz w:val="22"/>
          <w:szCs w:val="22"/>
          <w:lang w:val="en-GB"/>
        </w:rPr>
        <w:t xml:space="preserve"> collective interests </w:t>
      </w:r>
      <w:r w:rsidR="00FF2D92" w:rsidRPr="00CA53A1">
        <w:rPr>
          <w:sz w:val="22"/>
          <w:szCs w:val="22"/>
          <w:lang w:val="en-GB"/>
        </w:rPr>
        <w:t xml:space="preserve">promotes </w:t>
      </w:r>
      <w:r w:rsidR="00982578" w:rsidRPr="00CA53A1">
        <w:rPr>
          <w:sz w:val="22"/>
          <w:szCs w:val="22"/>
          <w:lang w:val="en-GB"/>
        </w:rPr>
        <w:t xml:space="preserve">the harmonization of consumer </w:t>
      </w:r>
      <w:r w:rsidR="00FF2D92" w:rsidRPr="00CA53A1">
        <w:rPr>
          <w:sz w:val="22"/>
          <w:szCs w:val="22"/>
          <w:lang w:val="en-GB"/>
        </w:rPr>
        <w:t>group actions in</w:t>
      </w:r>
      <w:r w:rsidR="003B221E" w:rsidRPr="00CA53A1">
        <w:rPr>
          <w:sz w:val="22"/>
          <w:szCs w:val="22"/>
          <w:lang w:val="en-GB"/>
        </w:rPr>
        <w:t xml:space="preserve"> the</w:t>
      </w:r>
      <w:r w:rsidR="00FF2D92" w:rsidRPr="00CA53A1">
        <w:rPr>
          <w:sz w:val="22"/>
          <w:szCs w:val="22"/>
          <w:lang w:val="en-GB"/>
        </w:rPr>
        <w:t xml:space="preserve"> </w:t>
      </w:r>
      <w:r w:rsidR="00982578" w:rsidRPr="00CA53A1">
        <w:rPr>
          <w:sz w:val="22"/>
          <w:szCs w:val="22"/>
          <w:lang w:val="en-GB"/>
        </w:rPr>
        <w:t>Member States.</w:t>
      </w:r>
    </w:p>
    <w:p w14:paraId="3B96994E" w14:textId="26A51244" w:rsidR="00172A2A" w:rsidRPr="00CA53A1" w:rsidRDefault="00B3277C" w:rsidP="002C76AF">
      <w:pPr>
        <w:spacing w:after="120"/>
        <w:ind w:firstLine="567"/>
        <w:jc w:val="both"/>
        <w:rPr>
          <w:sz w:val="22"/>
          <w:szCs w:val="22"/>
          <w:lang w:val="en-US"/>
        </w:rPr>
      </w:pPr>
      <w:r w:rsidRPr="00B3277C">
        <w:rPr>
          <w:sz w:val="22"/>
          <w:szCs w:val="22"/>
          <w:lang w:val="en-GB"/>
        </w:rPr>
        <w:t xml:space="preserve">With specific reference to the protection of personal data, the GDPR contains some provisions relating to judicial remedies (article 78 ff. GDPR). Firstly, it states that data subjects must have appropriate procedural tools to enforce their rights but does not explicitly mention group actions. However, a wider interpretation of Article 80 GDPR, would provide a legal basis for group actions promoting the interests of the data subjects. This was the conclusion reached some years ago by the </w:t>
      </w:r>
      <w:r w:rsidR="00394C6C">
        <w:rPr>
          <w:sz w:val="22"/>
          <w:szCs w:val="22"/>
          <w:lang w:val="en-GB"/>
        </w:rPr>
        <w:t>ECJ</w:t>
      </w:r>
      <w:r w:rsidRPr="00B3277C">
        <w:rPr>
          <w:sz w:val="22"/>
          <w:szCs w:val="22"/>
          <w:lang w:val="en-GB"/>
        </w:rPr>
        <w:t xml:space="preserve">, in case C-40/17, </w:t>
      </w:r>
      <w:r w:rsidR="00290291" w:rsidRPr="00CA53A1">
        <w:rPr>
          <w:i/>
          <w:sz w:val="22"/>
          <w:szCs w:val="22"/>
          <w:lang w:val="en-GB"/>
        </w:rPr>
        <w:t xml:space="preserve">Fashion ID v. </w:t>
      </w:r>
      <w:r w:rsidR="00290291" w:rsidRPr="00CA53A1">
        <w:rPr>
          <w:i/>
          <w:sz w:val="22"/>
          <w:szCs w:val="22"/>
          <w:lang w:val="en-US"/>
        </w:rPr>
        <w:t>Verbraucherzentrale NRW eV</w:t>
      </w:r>
      <w:r w:rsidR="009D1373" w:rsidRPr="00CA53A1">
        <w:rPr>
          <w:rStyle w:val="Rimandonotaapidipagina"/>
          <w:sz w:val="22"/>
          <w:szCs w:val="22"/>
          <w:lang w:val="en-US"/>
        </w:rPr>
        <w:footnoteReference w:id="49"/>
      </w:r>
      <w:r w:rsidR="00290291" w:rsidRPr="00CA53A1">
        <w:rPr>
          <w:i/>
          <w:sz w:val="22"/>
          <w:szCs w:val="22"/>
          <w:lang w:val="en-US"/>
        </w:rPr>
        <w:t xml:space="preserve">, </w:t>
      </w:r>
      <w:r w:rsidR="00290291" w:rsidRPr="00CA53A1">
        <w:rPr>
          <w:sz w:val="22"/>
          <w:szCs w:val="22"/>
          <w:lang w:val="en-US"/>
        </w:rPr>
        <w:t xml:space="preserve">and </w:t>
      </w:r>
      <w:r w:rsidR="009A4A87" w:rsidRPr="00CA53A1">
        <w:rPr>
          <w:sz w:val="22"/>
          <w:szCs w:val="22"/>
          <w:lang w:val="en-US"/>
        </w:rPr>
        <w:t xml:space="preserve">endorsed </w:t>
      </w:r>
      <w:r>
        <w:rPr>
          <w:sz w:val="22"/>
          <w:szCs w:val="22"/>
          <w:lang w:val="en-US"/>
        </w:rPr>
        <w:t xml:space="preserve">more </w:t>
      </w:r>
      <w:r w:rsidR="00982578" w:rsidRPr="00CA53A1">
        <w:rPr>
          <w:sz w:val="22"/>
          <w:szCs w:val="22"/>
          <w:lang w:val="en-US"/>
        </w:rPr>
        <w:t xml:space="preserve">recently in case </w:t>
      </w:r>
      <w:r w:rsidR="00290291" w:rsidRPr="00CA53A1">
        <w:rPr>
          <w:sz w:val="22"/>
          <w:szCs w:val="22"/>
          <w:lang w:val="en-US"/>
        </w:rPr>
        <w:t xml:space="preserve">C-319/20, </w:t>
      </w:r>
      <w:r w:rsidR="00A072D9" w:rsidRPr="00CA53A1">
        <w:rPr>
          <w:i/>
          <w:sz w:val="22"/>
          <w:szCs w:val="22"/>
          <w:lang w:val="en-US"/>
        </w:rPr>
        <w:t xml:space="preserve">Meta Platforms Ireland Ltd. v. </w:t>
      </w:r>
      <w:r w:rsidR="009A4A87" w:rsidRPr="00CA53A1">
        <w:rPr>
          <w:i/>
          <w:sz w:val="22"/>
          <w:szCs w:val="22"/>
          <w:lang w:val="en-US"/>
        </w:rPr>
        <w:t>the German Federal Union of Consumer</w:t>
      </w:r>
      <w:r w:rsidR="00BC51A3" w:rsidRPr="00CA53A1">
        <w:rPr>
          <w:i/>
          <w:sz w:val="22"/>
          <w:szCs w:val="22"/>
          <w:lang w:val="en-US"/>
        </w:rPr>
        <w:t xml:space="preserve"> Organisations and Asssociations.</w:t>
      </w:r>
    </w:p>
    <w:p w14:paraId="024374EB" w14:textId="225196F2" w:rsidR="00A072D9" w:rsidRPr="00CA53A1" w:rsidRDefault="00B3277C" w:rsidP="00621335">
      <w:pPr>
        <w:spacing w:after="120"/>
        <w:ind w:firstLine="567"/>
        <w:jc w:val="both"/>
        <w:rPr>
          <w:sz w:val="22"/>
          <w:szCs w:val="22"/>
          <w:lang w:val="en-US"/>
        </w:rPr>
      </w:pPr>
      <w:r w:rsidRPr="00B3277C">
        <w:rPr>
          <w:sz w:val="22"/>
          <w:szCs w:val="22"/>
          <w:lang w:val="en-GB"/>
        </w:rPr>
        <w:t>Article 80</w:t>
      </w:r>
      <w:r w:rsidRPr="00B3277C">
        <w:rPr>
          <w:sz w:val="22"/>
          <w:szCs w:val="22"/>
          <w:lang w:val="en-US"/>
        </w:rPr>
        <w:t xml:space="preserve"> GDPR allows a data subject to be represented in administr</w:t>
      </w:r>
      <w:r w:rsidR="009D5A9B">
        <w:rPr>
          <w:sz w:val="22"/>
          <w:szCs w:val="22"/>
          <w:lang w:val="en-US"/>
        </w:rPr>
        <w:t>ative and judicial proceedings ‘</w:t>
      </w:r>
      <w:r w:rsidRPr="00B3277C">
        <w:rPr>
          <w:sz w:val="22"/>
          <w:szCs w:val="22"/>
          <w:lang w:val="en-US"/>
        </w:rPr>
        <w:t>by a not-for-profit body, organisation or association which has been properly constituted under the law of a Member State, has statutory objectives which are in the public interest, and is active in the field of the protection of data subjects' rights and freedoms with regard to the pr</w:t>
      </w:r>
      <w:r w:rsidR="009D5A9B">
        <w:rPr>
          <w:sz w:val="22"/>
          <w:szCs w:val="22"/>
          <w:lang w:val="en-US"/>
        </w:rPr>
        <w:t>otection of their personal data’</w:t>
      </w:r>
      <w:r w:rsidRPr="00B3277C">
        <w:rPr>
          <w:sz w:val="22"/>
          <w:szCs w:val="22"/>
          <w:lang w:val="en-US"/>
        </w:rPr>
        <w:t>. The GDPR probably limits the type of entities entitled to act as representatives in order to prevent the courts from being flooded with</w:t>
      </w:r>
      <w:r>
        <w:rPr>
          <w:sz w:val="22"/>
          <w:szCs w:val="22"/>
          <w:lang w:val="en-US"/>
        </w:rPr>
        <w:t xml:space="preserve"> </w:t>
      </w:r>
      <w:r w:rsidR="00220C73">
        <w:rPr>
          <w:sz w:val="22"/>
          <w:szCs w:val="22"/>
          <w:lang w:val="en-US"/>
        </w:rPr>
        <w:t xml:space="preserve">unwarranted and </w:t>
      </w:r>
      <w:r>
        <w:rPr>
          <w:sz w:val="22"/>
          <w:szCs w:val="22"/>
          <w:lang w:val="en-US"/>
        </w:rPr>
        <w:t xml:space="preserve">abusive claims. Consumers might otherwise become part of </w:t>
      </w:r>
      <w:r w:rsidR="00F11B43" w:rsidRPr="00CA53A1">
        <w:rPr>
          <w:sz w:val="22"/>
          <w:szCs w:val="22"/>
          <w:lang w:val="en-US"/>
        </w:rPr>
        <w:t>unmeritorious pro</w:t>
      </w:r>
      <w:r w:rsidR="003B221E" w:rsidRPr="00CA53A1">
        <w:rPr>
          <w:sz w:val="22"/>
          <w:szCs w:val="22"/>
          <w:lang w:val="en-US"/>
        </w:rPr>
        <w:t xml:space="preserve">cedural initiatives, </w:t>
      </w:r>
      <w:r>
        <w:rPr>
          <w:sz w:val="22"/>
          <w:szCs w:val="22"/>
          <w:lang w:val="en-US"/>
        </w:rPr>
        <w:t>and risk no</w:t>
      </w:r>
      <w:r w:rsidR="00F11B43" w:rsidRPr="00CA53A1">
        <w:rPr>
          <w:sz w:val="22"/>
          <w:szCs w:val="22"/>
          <w:lang w:val="en-US"/>
        </w:rPr>
        <w:t xml:space="preserve"> longer being able to assert their rights in court.</w:t>
      </w:r>
      <w:r w:rsidR="00EA7140" w:rsidRPr="00CA53A1">
        <w:rPr>
          <w:rStyle w:val="Rimandonotaapidipagina"/>
          <w:sz w:val="22"/>
          <w:szCs w:val="22"/>
          <w:lang w:val="en-US"/>
        </w:rPr>
        <w:footnoteReference w:id="50"/>
      </w:r>
      <w:r w:rsidR="00F11B43" w:rsidRPr="00CA53A1">
        <w:rPr>
          <w:sz w:val="22"/>
          <w:szCs w:val="22"/>
          <w:lang w:val="en-US"/>
        </w:rPr>
        <w:t xml:space="preserve"> </w:t>
      </w:r>
    </w:p>
    <w:p w14:paraId="1C0BD401" w14:textId="03657B9D" w:rsidR="00B3277C" w:rsidRDefault="00B3277C" w:rsidP="00621335">
      <w:pPr>
        <w:spacing w:after="120"/>
        <w:ind w:firstLine="567"/>
        <w:jc w:val="both"/>
        <w:rPr>
          <w:sz w:val="22"/>
          <w:szCs w:val="22"/>
          <w:lang w:val="en-US"/>
        </w:rPr>
      </w:pPr>
      <w:r w:rsidRPr="00B3277C">
        <w:rPr>
          <w:sz w:val="22"/>
          <w:szCs w:val="22"/>
          <w:lang w:val="en-US"/>
        </w:rPr>
        <w:t xml:space="preserve">As regards judicial proceedings, article 80 (1) provides that the data subject can mandate eligible legal entities to appeal against measures undertaken by a Supervisory Authority, or to contest the actions of a data controller. The legal entity should also be able to exercise the right to receive compensation on behalf of the data subject, </w:t>
      </w:r>
      <w:r w:rsidR="009D5A9B">
        <w:rPr>
          <w:sz w:val="22"/>
          <w:szCs w:val="22"/>
          <w:lang w:val="en-US"/>
        </w:rPr>
        <w:t>in accordance with article 82 (</w:t>
      </w:r>
      <w:r w:rsidRPr="00B3277C">
        <w:rPr>
          <w:sz w:val="22"/>
          <w:szCs w:val="22"/>
          <w:lang w:val="en-US"/>
        </w:rPr>
        <w:t>Righ</w:t>
      </w:r>
      <w:r w:rsidR="009D5A9B">
        <w:rPr>
          <w:sz w:val="22"/>
          <w:szCs w:val="22"/>
          <w:lang w:val="en-US"/>
        </w:rPr>
        <w:t>t to compensation and liability</w:t>
      </w:r>
      <w:r w:rsidRPr="00B3277C">
        <w:rPr>
          <w:sz w:val="22"/>
          <w:szCs w:val="22"/>
          <w:lang w:val="en-US"/>
        </w:rPr>
        <w:t>). In contrast, paragraph 2 of the same article states that it i</w:t>
      </w:r>
      <w:r w:rsidR="0015209E">
        <w:rPr>
          <w:sz w:val="22"/>
          <w:szCs w:val="22"/>
          <w:lang w:val="en-US"/>
        </w:rPr>
        <w:t>s up to Member States whether they</w:t>
      </w:r>
      <w:r w:rsidRPr="00B3277C">
        <w:rPr>
          <w:sz w:val="22"/>
          <w:szCs w:val="22"/>
          <w:lang w:val="en-US"/>
        </w:rPr>
        <w:t xml:space="preserve"> allow entities to start a proceeding independently of a mandate when they c</w:t>
      </w:r>
      <w:r w:rsidR="009D5A9B">
        <w:rPr>
          <w:sz w:val="22"/>
          <w:szCs w:val="22"/>
          <w:lang w:val="en-US"/>
        </w:rPr>
        <w:t xml:space="preserve">onsider the rights of the data subjects </w:t>
      </w:r>
      <w:r w:rsidRPr="00B3277C">
        <w:rPr>
          <w:sz w:val="22"/>
          <w:szCs w:val="22"/>
          <w:lang w:val="en-US"/>
        </w:rPr>
        <w:t xml:space="preserve">to have been infringed. In this case, the possibility of seeking damages is not expressly mentioned. </w:t>
      </w:r>
    </w:p>
    <w:p w14:paraId="5DFCB601" w14:textId="56070C58" w:rsidR="00B3277C" w:rsidRDefault="0015209E" w:rsidP="00235CF6">
      <w:pPr>
        <w:spacing w:after="120"/>
        <w:ind w:firstLine="567"/>
        <w:jc w:val="both"/>
        <w:rPr>
          <w:sz w:val="22"/>
          <w:szCs w:val="22"/>
          <w:lang w:val="en-US"/>
        </w:rPr>
      </w:pPr>
      <w:r>
        <w:rPr>
          <w:sz w:val="22"/>
          <w:szCs w:val="22"/>
          <w:lang w:val="en-US"/>
        </w:rPr>
        <w:t>To sum up, in the first scenario, set out in article 80 (1),</w:t>
      </w:r>
      <w:r w:rsidR="00B3277C" w:rsidRPr="00B3277C">
        <w:rPr>
          <w:sz w:val="22"/>
          <w:szCs w:val="22"/>
          <w:lang w:val="en-US"/>
        </w:rPr>
        <w:t xml:space="preserve"> the data subject gives a mandate to an entity to procedurally</w:t>
      </w:r>
      <w:r>
        <w:rPr>
          <w:sz w:val="22"/>
          <w:szCs w:val="22"/>
          <w:lang w:val="en-US"/>
        </w:rPr>
        <w:t xml:space="preserve"> represent them; in the second, based on article 80 (2),</w:t>
      </w:r>
      <w:r w:rsidR="00B3277C" w:rsidRPr="00B3277C">
        <w:rPr>
          <w:sz w:val="22"/>
          <w:szCs w:val="22"/>
          <w:lang w:val="en-US"/>
        </w:rPr>
        <w:t xml:space="preserve"> an entity asks for an effective judicial remedy for the data subject without their mandate, if allowed by the Member States. </w:t>
      </w:r>
    </w:p>
    <w:p w14:paraId="2C358984" w14:textId="3DE1B552" w:rsidR="00406811" w:rsidRDefault="00B3277C" w:rsidP="00B3277C">
      <w:pPr>
        <w:spacing w:after="120"/>
        <w:ind w:firstLine="567"/>
        <w:jc w:val="both"/>
        <w:rPr>
          <w:sz w:val="22"/>
          <w:szCs w:val="22"/>
          <w:lang w:val="en-US"/>
        </w:rPr>
      </w:pPr>
      <w:r w:rsidRPr="00B3277C">
        <w:rPr>
          <w:sz w:val="22"/>
          <w:szCs w:val="22"/>
          <w:lang w:val="en-US"/>
        </w:rPr>
        <w:t>Article 80 does not specify whether the entity can represent more than one data subject. However, the possibility was envisaged while drafting the legislation</w:t>
      </w:r>
      <w:r w:rsidR="0091637C" w:rsidRPr="00CA53A1">
        <w:rPr>
          <w:rStyle w:val="Rimandonotaapidipagina"/>
          <w:sz w:val="22"/>
          <w:szCs w:val="22"/>
          <w:lang w:val="en-US"/>
        </w:rPr>
        <w:footnoteReference w:id="51"/>
      </w:r>
      <w:r w:rsidR="00F01DD4" w:rsidRPr="00CA53A1">
        <w:rPr>
          <w:sz w:val="22"/>
          <w:szCs w:val="22"/>
          <w:lang w:val="en-US"/>
        </w:rPr>
        <w:t xml:space="preserve"> and</w:t>
      </w:r>
      <w:r w:rsidR="00406811" w:rsidRPr="00CA53A1">
        <w:rPr>
          <w:sz w:val="22"/>
          <w:szCs w:val="22"/>
          <w:lang w:val="en-US"/>
        </w:rPr>
        <w:t xml:space="preserve"> it </w:t>
      </w:r>
      <w:r w:rsidR="003D1968" w:rsidRPr="00CA53A1">
        <w:rPr>
          <w:sz w:val="22"/>
          <w:szCs w:val="22"/>
          <w:lang w:val="en-US"/>
        </w:rPr>
        <w:t xml:space="preserve">emerges </w:t>
      </w:r>
      <w:r w:rsidRPr="00B3277C">
        <w:rPr>
          <w:sz w:val="22"/>
          <w:szCs w:val="22"/>
          <w:lang w:val="en-US"/>
        </w:rPr>
        <w:t xml:space="preserve">in Recital 142, which states that an entity </w:t>
      </w:r>
      <w:r w:rsidR="009D5A9B">
        <w:rPr>
          <w:sz w:val="22"/>
          <w:szCs w:val="22"/>
          <w:lang w:val="en-US"/>
        </w:rPr>
        <w:t>can bring judicial proceedings ‘</w:t>
      </w:r>
      <w:r w:rsidRPr="00B3277C">
        <w:rPr>
          <w:sz w:val="22"/>
          <w:szCs w:val="22"/>
          <w:lang w:val="en-US"/>
        </w:rPr>
        <w:t xml:space="preserve">on behalf of the data </w:t>
      </w:r>
      <w:r w:rsidRPr="00B3277C">
        <w:rPr>
          <w:i/>
          <w:sz w:val="22"/>
          <w:szCs w:val="22"/>
          <w:lang w:val="en-US"/>
        </w:rPr>
        <w:t>subjects</w:t>
      </w:r>
      <w:r w:rsidR="009D5A9B">
        <w:rPr>
          <w:sz w:val="22"/>
          <w:szCs w:val="22"/>
          <w:lang w:val="en-US"/>
        </w:rPr>
        <w:t>’</w:t>
      </w:r>
      <w:r w:rsidRPr="00B3277C">
        <w:rPr>
          <w:sz w:val="22"/>
          <w:szCs w:val="22"/>
          <w:lang w:val="en-US"/>
        </w:rPr>
        <w:t>.</w:t>
      </w:r>
    </w:p>
    <w:p w14:paraId="7A8D6633" w14:textId="77777777" w:rsidR="00B3277C" w:rsidRPr="00CA53A1" w:rsidRDefault="00B3277C" w:rsidP="00B3277C">
      <w:pPr>
        <w:spacing w:after="120"/>
        <w:ind w:firstLine="567"/>
        <w:jc w:val="both"/>
        <w:rPr>
          <w:b/>
          <w:sz w:val="22"/>
          <w:szCs w:val="22"/>
          <w:lang w:val="en-US"/>
        </w:rPr>
      </w:pPr>
    </w:p>
    <w:p w14:paraId="750809BC" w14:textId="4A5BAB9C" w:rsidR="007F3D67" w:rsidRPr="00CA53A1" w:rsidRDefault="000C0ADF" w:rsidP="00294D03">
      <w:pPr>
        <w:ind w:left="426" w:hanging="426"/>
        <w:jc w:val="both"/>
        <w:outlineLvl w:val="0"/>
        <w:rPr>
          <w:b/>
          <w:i/>
          <w:sz w:val="22"/>
          <w:szCs w:val="22"/>
          <w:lang w:val="en-US"/>
        </w:rPr>
      </w:pPr>
      <w:r>
        <w:rPr>
          <w:b/>
          <w:sz w:val="22"/>
          <w:szCs w:val="22"/>
          <w:lang w:val="en-GB"/>
        </w:rPr>
        <w:lastRenderedPageBreak/>
        <w:t>IV</w:t>
      </w:r>
      <w:r w:rsidRPr="00CA53A1">
        <w:rPr>
          <w:b/>
          <w:sz w:val="22"/>
          <w:szCs w:val="22"/>
          <w:lang w:val="en-GB"/>
        </w:rPr>
        <w:t xml:space="preserve">. </w:t>
      </w:r>
      <w:r>
        <w:rPr>
          <w:b/>
          <w:sz w:val="22"/>
          <w:szCs w:val="22"/>
          <w:lang w:val="en-GB"/>
        </w:rPr>
        <w:t xml:space="preserve">Chapter 3 </w:t>
      </w:r>
      <w:r w:rsidR="00491DAA" w:rsidRPr="00CA53A1">
        <w:rPr>
          <w:b/>
          <w:sz w:val="22"/>
          <w:szCs w:val="22"/>
          <w:lang w:val="en-US"/>
        </w:rPr>
        <w:t>The</w:t>
      </w:r>
      <w:r w:rsidR="0073413C" w:rsidRPr="00CA53A1">
        <w:rPr>
          <w:b/>
          <w:sz w:val="22"/>
          <w:szCs w:val="22"/>
          <w:lang w:val="en-US"/>
        </w:rPr>
        <w:t xml:space="preserve"> c</w:t>
      </w:r>
      <w:r w:rsidR="007F3D67" w:rsidRPr="00CA53A1">
        <w:rPr>
          <w:b/>
          <w:sz w:val="22"/>
          <w:szCs w:val="22"/>
          <w:lang w:val="en-US"/>
        </w:rPr>
        <w:t xml:space="preserve">ase </w:t>
      </w:r>
      <w:r w:rsidR="0073413C" w:rsidRPr="00CA53A1">
        <w:rPr>
          <w:b/>
          <w:sz w:val="22"/>
          <w:szCs w:val="22"/>
          <w:lang w:val="en-US"/>
        </w:rPr>
        <w:t xml:space="preserve">of </w:t>
      </w:r>
      <w:r w:rsidR="00E723EB" w:rsidRPr="00CA53A1">
        <w:rPr>
          <w:b/>
          <w:i/>
          <w:sz w:val="22"/>
          <w:szCs w:val="22"/>
          <w:lang w:val="en-US"/>
        </w:rPr>
        <w:t>Meta</w:t>
      </w:r>
      <w:r w:rsidR="00BF7FD1" w:rsidRPr="00CA53A1">
        <w:rPr>
          <w:b/>
          <w:i/>
          <w:sz w:val="22"/>
          <w:szCs w:val="22"/>
          <w:lang w:val="en-US"/>
        </w:rPr>
        <w:t xml:space="preserve"> P</w:t>
      </w:r>
      <w:r w:rsidR="00E723EB" w:rsidRPr="00CA53A1">
        <w:rPr>
          <w:b/>
          <w:i/>
          <w:sz w:val="22"/>
          <w:szCs w:val="22"/>
          <w:lang w:val="en-US"/>
        </w:rPr>
        <w:t>latform</w:t>
      </w:r>
      <w:r w:rsidR="00BF7FD1" w:rsidRPr="00CA53A1">
        <w:rPr>
          <w:b/>
          <w:i/>
          <w:sz w:val="22"/>
          <w:szCs w:val="22"/>
          <w:lang w:val="en-US"/>
        </w:rPr>
        <w:t>s</w:t>
      </w:r>
      <w:r w:rsidR="007F3D67" w:rsidRPr="00CA53A1">
        <w:rPr>
          <w:b/>
          <w:i/>
          <w:sz w:val="22"/>
          <w:szCs w:val="22"/>
          <w:lang w:val="en-US"/>
        </w:rPr>
        <w:t xml:space="preserve"> </w:t>
      </w:r>
      <w:r w:rsidR="0073413C" w:rsidRPr="00CA53A1">
        <w:rPr>
          <w:b/>
          <w:i/>
          <w:sz w:val="22"/>
          <w:szCs w:val="22"/>
          <w:lang w:val="en-US"/>
        </w:rPr>
        <w:t xml:space="preserve">v. the </w:t>
      </w:r>
      <w:r w:rsidR="00C50CD4" w:rsidRPr="00CA53A1">
        <w:rPr>
          <w:b/>
          <w:i/>
          <w:sz w:val="22"/>
          <w:szCs w:val="22"/>
          <w:lang w:val="en-US"/>
        </w:rPr>
        <w:t xml:space="preserve">German </w:t>
      </w:r>
      <w:r w:rsidR="00BC51A3" w:rsidRPr="00CA53A1">
        <w:rPr>
          <w:b/>
          <w:i/>
          <w:sz w:val="22"/>
          <w:szCs w:val="22"/>
          <w:lang w:val="en-US"/>
        </w:rPr>
        <w:t>Federal Union</w:t>
      </w:r>
      <w:r w:rsidR="00C50CD4" w:rsidRPr="00CA53A1">
        <w:rPr>
          <w:b/>
          <w:i/>
          <w:sz w:val="22"/>
          <w:szCs w:val="22"/>
          <w:lang w:val="en-US"/>
        </w:rPr>
        <w:t xml:space="preserve"> of Consumer Organisations and Associations</w:t>
      </w:r>
    </w:p>
    <w:p w14:paraId="27F351AB" w14:textId="77777777" w:rsidR="007F3D67" w:rsidRPr="00CA53A1" w:rsidRDefault="007F3D67" w:rsidP="00B3277C">
      <w:pPr>
        <w:spacing w:after="120"/>
        <w:jc w:val="both"/>
        <w:rPr>
          <w:i/>
          <w:sz w:val="22"/>
          <w:szCs w:val="22"/>
          <w:lang w:val="en-US"/>
        </w:rPr>
      </w:pPr>
    </w:p>
    <w:p w14:paraId="1D085E44" w14:textId="003CCD17" w:rsidR="00B3277C" w:rsidRPr="00B3277C" w:rsidRDefault="00B3277C" w:rsidP="00B3277C">
      <w:pPr>
        <w:spacing w:after="120"/>
        <w:ind w:firstLine="567"/>
        <w:jc w:val="both"/>
        <w:rPr>
          <w:sz w:val="22"/>
          <w:szCs w:val="22"/>
          <w:lang w:val="en-US"/>
        </w:rPr>
      </w:pPr>
      <w:r w:rsidRPr="00B3277C">
        <w:rPr>
          <w:sz w:val="22"/>
          <w:szCs w:val="22"/>
          <w:lang w:val="en-US"/>
        </w:rPr>
        <w:t xml:space="preserve">In cases </w:t>
      </w:r>
      <w:r w:rsidRPr="00B3277C">
        <w:rPr>
          <w:i/>
          <w:sz w:val="22"/>
          <w:szCs w:val="22"/>
          <w:lang w:val="en-US"/>
        </w:rPr>
        <w:t xml:space="preserve">Fashion ID </w:t>
      </w:r>
      <w:r w:rsidRPr="00B3277C">
        <w:rPr>
          <w:sz w:val="22"/>
          <w:szCs w:val="22"/>
          <w:lang w:val="en-US"/>
        </w:rPr>
        <w:t xml:space="preserve">and </w:t>
      </w:r>
      <w:r w:rsidRPr="00B3277C">
        <w:rPr>
          <w:i/>
          <w:sz w:val="22"/>
          <w:szCs w:val="22"/>
          <w:lang w:val="en-US"/>
        </w:rPr>
        <w:t xml:space="preserve">Meta Platforms, </w:t>
      </w:r>
      <w:r w:rsidRPr="00B3277C">
        <w:rPr>
          <w:sz w:val="22"/>
          <w:szCs w:val="22"/>
          <w:lang w:val="en-US"/>
        </w:rPr>
        <w:t>the</w:t>
      </w:r>
      <w:r w:rsidR="00394C6C">
        <w:rPr>
          <w:sz w:val="22"/>
          <w:szCs w:val="22"/>
          <w:lang w:val="en-US"/>
        </w:rPr>
        <w:t xml:space="preserve"> ECJ</w:t>
      </w:r>
      <w:r w:rsidRPr="00B3277C">
        <w:rPr>
          <w:sz w:val="22"/>
          <w:szCs w:val="22"/>
          <w:lang w:val="en-US"/>
        </w:rPr>
        <w:t xml:space="preserve"> affirmed that article 80 GDPR allows representative actions for the interests of a plurality of data subjects. The judgment </w:t>
      </w:r>
      <w:r w:rsidRPr="00B3277C">
        <w:rPr>
          <w:i/>
          <w:sz w:val="22"/>
          <w:szCs w:val="22"/>
          <w:lang w:val="en-US"/>
        </w:rPr>
        <w:t xml:space="preserve">Meta Platforms </w:t>
      </w:r>
      <w:r w:rsidRPr="00B3277C">
        <w:rPr>
          <w:sz w:val="22"/>
          <w:szCs w:val="22"/>
          <w:lang w:val="en-US"/>
        </w:rPr>
        <w:t xml:space="preserve">is of great importance, since the </w:t>
      </w:r>
      <w:r w:rsidR="00394C6C">
        <w:rPr>
          <w:sz w:val="22"/>
          <w:szCs w:val="22"/>
          <w:lang w:val="en-US"/>
        </w:rPr>
        <w:t>ECJ</w:t>
      </w:r>
      <w:r w:rsidRPr="00B3277C">
        <w:rPr>
          <w:sz w:val="22"/>
          <w:szCs w:val="22"/>
          <w:lang w:val="en-US"/>
        </w:rPr>
        <w:t xml:space="preserve"> granted consumer organizations the right to lodge a complaint to enforce data protection law provisions on a collective basis, in accordance with article 80.</w:t>
      </w:r>
    </w:p>
    <w:p w14:paraId="651527A0" w14:textId="67716C2D" w:rsidR="00B3277C" w:rsidRPr="00B3277C" w:rsidRDefault="00B3277C" w:rsidP="00B3277C">
      <w:pPr>
        <w:spacing w:after="120"/>
        <w:ind w:firstLine="567"/>
        <w:jc w:val="both"/>
        <w:rPr>
          <w:sz w:val="22"/>
          <w:szCs w:val="22"/>
          <w:lang w:val="en-US"/>
        </w:rPr>
      </w:pPr>
      <w:r w:rsidRPr="00B3277C">
        <w:rPr>
          <w:sz w:val="22"/>
          <w:szCs w:val="22"/>
          <w:lang w:val="en-US"/>
        </w:rPr>
        <w:t>The facts of the case concerned personal data processing installed by Meta. Specifically, when Facebook users accessed free games on the platform, they accepted that the game providers received certain data and gave them permission to publish content on their behalf. This was deemed in violation of the requirements of consent of the data subjects (article</w:t>
      </w:r>
      <w:r w:rsidR="0015209E">
        <w:rPr>
          <w:sz w:val="22"/>
          <w:szCs w:val="22"/>
          <w:lang w:val="en-US"/>
        </w:rPr>
        <w:t>s</w:t>
      </w:r>
      <w:r w:rsidRPr="00B3277C">
        <w:rPr>
          <w:sz w:val="22"/>
          <w:szCs w:val="22"/>
          <w:lang w:val="en-US"/>
        </w:rPr>
        <w:t xml:space="preserve"> 6 and article 7 GDPR) and to the prohibition of unfair commercial practices (Dir. 2005/29/EC, amended by Dir. EU/2019/2161).</w:t>
      </w:r>
    </w:p>
    <w:p w14:paraId="45DC3D1B" w14:textId="28E191E1" w:rsidR="005C136F" w:rsidRPr="00CA53A1" w:rsidRDefault="00B3277C" w:rsidP="00235CF6">
      <w:pPr>
        <w:spacing w:after="120"/>
        <w:ind w:firstLine="567"/>
        <w:jc w:val="both"/>
        <w:rPr>
          <w:sz w:val="22"/>
          <w:szCs w:val="22"/>
          <w:lang w:val="en-US"/>
        </w:rPr>
      </w:pPr>
      <w:r w:rsidRPr="00B3277C">
        <w:rPr>
          <w:sz w:val="22"/>
          <w:szCs w:val="22"/>
          <w:lang w:val="en-US"/>
        </w:rPr>
        <w:t>In this case, the Federal Court of Justice of Germany (</w:t>
      </w:r>
      <w:r w:rsidRPr="008E5169">
        <w:rPr>
          <w:i/>
          <w:sz w:val="22"/>
          <w:szCs w:val="22"/>
          <w:lang w:val="en-US"/>
        </w:rPr>
        <w:t>Bundesgerichtshof</w:t>
      </w:r>
      <w:r w:rsidRPr="00B3277C">
        <w:rPr>
          <w:sz w:val="22"/>
          <w:szCs w:val="22"/>
          <w:lang w:val="en-US"/>
        </w:rPr>
        <w:t xml:space="preserve">) asked the </w:t>
      </w:r>
      <w:r w:rsidR="00394C6C">
        <w:rPr>
          <w:sz w:val="22"/>
          <w:szCs w:val="22"/>
          <w:lang w:val="en-US"/>
        </w:rPr>
        <w:t>ECJ</w:t>
      </w:r>
      <w:r w:rsidRPr="00B3277C">
        <w:rPr>
          <w:sz w:val="22"/>
          <w:szCs w:val="22"/>
          <w:lang w:val="en-US"/>
        </w:rPr>
        <w:t xml:space="preserve"> for a preliminary ruling on the compatibility with article 80 (2) GDPR of a national provision granting consumer associations legal status to request an injunction against conducts infringing the right to data protection. Indee</w:t>
      </w:r>
      <w:r>
        <w:rPr>
          <w:sz w:val="22"/>
          <w:szCs w:val="22"/>
          <w:lang w:val="en-US"/>
        </w:rPr>
        <w:t>d, the German provision recognis</w:t>
      </w:r>
      <w:r w:rsidR="0015209E">
        <w:rPr>
          <w:sz w:val="22"/>
          <w:szCs w:val="22"/>
          <w:lang w:val="en-US"/>
        </w:rPr>
        <w:t>ed that legal entities could</w:t>
      </w:r>
      <w:r w:rsidRPr="00B3277C">
        <w:rPr>
          <w:sz w:val="22"/>
          <w:szCs w:val="22"/>
          <w:lang w:val="en-US"/>
        </w:rPr>
        <w:t xml:space="preserve"> uphold the rights conferred on individuals through consumer law provisions, without requiring a mandate or proof of consumers having suffered actual harm</w:t>
      </w:r>
      <w:r w:rsidR="008E3363" w:rsidRPr="00CA53A1">
        <w:rPr>
          <w:sz w:val="22"/>
          <w:szCs w:val="22"/>
          <w:lang w:val="en-US"/>
        </w:rPr>
        <w:t>.</w:t>
      </w:r>
      <w:r w:rsidR="00E138F3" w:rsidRPr="00CA53A1">
        <w:rPr>
          <w:rStyle w:val="Rimandonotaapidipagina"/>
          <w:sz w:val="22"/>
          <w:szCs w:val="22"/>
          <w:lang w:val="en-US"/>
        </w:rPr>
        <w:footnoteReference w:id="52"/>
      </w:r>
    </w:p>
    <w:p w14:paraId="16609910" w14:textId="77777777" w:rsidR="00B3277C" w:rsidRPr="00B3277C" w:rsidRDefault="00B3277C" w:rsidP="00B3277C">
      <w:pPr>
        <w:spacing w:after="120"/>
        <w:ind w:firstLine="567"/>
        <w:jc w:val="both"/>
        <w:rPr>
          <w:sz w:val="22"/>
          <w:szCs w:val="22"/>
          <w:lang w:val="en-US"/>
        </w:rPr>
      </w:pPr>
      <w:r w:rsidRPr="00B3277C">
        <w:rPr>
          <w:sz w:val="22"/>
          <w:szCs w:val="22"/>
          <w:lang w:val="en-US"/>
        </w:rPr>
        <w:t>The Court first clarified that there is no need for a specific national law implementing paragraph 2 of article 80 when Member States laws already have legal provisions granting direct standing of legal entities in representative actions</w:t>
      </w:r>
      <w:r w:rsidR="008E3363" w:rsidRPr="00CA53A1">
        <w:rPr>
          <w:sz w:val="22"/>
          <w:szCs w:val="22"/>
          <w:lang w:val="en-US"/>
        </w:rPr>
        <w:t>.</w:t>
      </w:r>
      <w:r w:rsidR="006F44A3" w:rsidRPr="00CA53A1">
        <w:rPr>
          <w:rStyle w:val="Rimandonotaapidipagina"/>
          <w:sz w:val="22"/>
          <w:szCs w:val="22"/>
          <w:lang w:val="en-US"/>
        </w:rPr>
        <w:footnoteReference w:id="53"/>
      </w:r>
      <w:r w:rsidR="00DB3BEA" w:rsidRPr="00CA53A1">
        <w:rPr>
          <w:sz w:val="22"/>
          <w:szCs w:val="22"/>
          <w:lang w:val="en-US"/>
        </w:rPr>
        <w:t xml:space="preserve"> </w:t>
      </w:r>
      <w:r w:rsidRPr="00B3277C">
        <w:rPr>
          <w:sz w:val="22"/>
          <w:szCs w:val="22"/>
          <w:lang w:val="en-US"/>
        </w:rPr>
        <w:t xml:space="preserve">Accordingly, consumer associations may act without a mandate to enforce the GDPR, requesting a collective injunction. </w:t>
      </w:r>
    </w:p>
    <w:p w14:paraId="0A5D21C4" w14:textId="0D8CC2AC" w:rsidR="006B3D5B" w:rsidRPr="00B3277C" w:rsidRDefault="00B3277C" w:rsidP="00B3277C">
      <w:pPr>
        <w:spacing w:after="120"/>
        <w:ind w:firstLine="567"/>
        <w:jc w:val="both"/>
        <w:rPr>
          <w:sz w:val="22"/>
          <w:szCs w:val="22"/>
          <w:lang w:val="en-US"/>
        </w:rPr>
      </w:pPr>
      <w:r w:rsidRPr="00B3277C">
        <w:rPr>
          <w:sz w:val="22"/>
          <w:szCs w:val="22"/>
          <w:lang w:val="en-US"/>
        </w:rPr>
        <w:t>The Court also stated that represented groups of individuals do not need to identify all their component members. Indeed, the GDPR itself defines th</w:t>
      </w:r>
      <w:r w:rsidR="009D5A9B">
        <w:rPr>
          <w:sz w:val="22"/>
          <w:szCs w:val="22"/>
          <w:lang w:val="en-US"/>
        </w:rPr>
        <w:t>e data subject as anyone who is ‘identified or identifiable’</w:t>
      </w:r>
      <w:r w:rsidRPr="00B3277C">
        <w:rPr>
          <w:sz w:val="22"/>
          <w:szCs w:val="22"/>
          <w:lang w:val="en-US"/>
        </w:rPr>
        <w:t>. Thus, it is possible to start an injunctive action simply by designating a group of people affected by unlawful data processing</w:t>
      </w:r>
      <w:r>
        <w:rPr>
          <w:sz w:val="22"/>
          <w:szCs w:val="22"/>
          <w:vertAlign w:val="superscript"/>
          <w:lang w:val="en-US"/>
        </w:rPr>
        <w:t xml:space="preserve"> </w:t>
      </w:r>
      <w:r w:rsidRPr="00B3277C">
        <w:rPr>
          <w:sz w:val="22"/>
          <w:szCs w:val="22"/>
          <w:lang w:val="en-US"/>
        </w:rPr>
        <w:t>(e.g. consumers who have used a certain cloud computing service, or have subscribed to a social media platform).</w:t>
      </w:r>
      <w:r w:rsidR="005A3D8F" w:rsidRPr="00CA53A1">
        <w:rPr>
          <w:rStyle w:val="Rimandonotaapidipagina"/>
          <w:sz w:val="22"/>
          <w:szCs w:val="22"/>
          <w:lang w:val="en-US"/>
        </w:rPr>
        <w:footnoteReference w:id="54"/>
      </w:r>
    </w:p>
    <w:p w14:paraId="49CBD864" w14:textId="0B58E972" w:rsidR="00782380" w:rsidRPr="00B3277C" w:rsidRDefault="00B3277C" w:rsidP="002C76AF">
      <w:pPr>
        <w:spacing w:after="120"/>
        <w:ind w:firstLine="426"/>
        <w:jc w:val="both"/>
        <w:rPr>
          <w:sz w:val="24"/>
          <w:szCs w:val="24"/>
          <w:lang w:val="en-US"/>
        </w:rPr>
      </w:pPr>
      <w:r w:rsidRPr="00B3277C">
        <w:rPr>
          <w:sz w:val="22"/>
          <w:szCs w:val="22"/>
          <w:lang w:val="en-US"/>
        </w:rPr>
        <w:t>The Court further stressed that an association or legal entity can bring a representative action, asking for injunctive relief, regardless of the infringement of specific rights of the data subj</w:t>
      </w:r>
      <w:r w:rsidR="009D5A9B">
        <w:rPr>
          <w:sz w:val="22"/>
          <w:szCs w:val="22"/>
          <w:lang w:val="en-US"/>
        </w:rPr>
        <w:t>ects. The Court affirmed that: ‘</w:t>
      </w:r>
      <w:r w:rsidRPr="00B3277C">
        <w:rPr>
          <w:sz w:val="22"/>
          <w:szCs w:val="22"/>
          <w:lang w:val="en-US"/>
        </w:rPr>
        <w:t>it is sufficient to claim that the data processing concerned is liable to affect the rights which identified or identifiable natural persons derive from that regulation, without it being necessary to prove actual harm suffered by the data subject, in a given situation, by the infringement of his or her rights</w:t>
      </w:r>
      <w:r w:rsidR="009D5A9B">
        <w:rPr>
          <w:sz w:val="22"/>
          <w:szCs w:val="22"/>
          <w:lang w:val="en-US"/>
        </w:rPr>
        <w:t>’</w:t>
      </w:r>
      <w:r w:rsidR="00506988" w:rsidRPr="00B3277C">
        <w:rPr>
          <w:rStyle w:val="Rimandonotaapidipagina"/>
          <w:sz w:val="22"/>
          <w:szCs w:val="22"/>
          <w:lang w:val="en-US"/>
        </w:rPr>
        <w:footnoteReference w:id="55"/>
      </w:r>
      <w:r w:rsidR="001D19BE" w:rsidRPr="00B3277C">
        <w:rPr>
          <w:sz w:val="22"/>
          <w:szCs w:val="22"/>
          <w:lang w:val="en-US"/>
        </w:rPr>
        <w:t>.</w:t>
      </w:r>
      <w:r w:rsidR="001D19BE" w:rsidRPr="00CA53A1">
        <w:rPr>
          <w:sz w:val="22"/>
          <w:szCs w:val="22"/>
          <w:lang w:val="en-US"/>
        </w:rPr>
        <w:t xml:space="preserve"> Accordingly, th</w:t>
      </w:r>
      <w:r w:rsidR="00780956" w:rsidRPr="00CA53A1">
        <w:rPr>
          <w:sz w:val="22"/>
          <w:szCs w:val="22"/>
          <w:lang w:val="en-US"/>
        </w:rPr>
        <w:t xml:space="preserve">e mere </w:t>
      </w:r>
      <w:r>
        <w:rPr>
          <w:sz w:val="22"/>
          <w:szCs w:val="22"/>
          <w:lang w:val="en-US"/>
        </w:rPr>
        <w:t>risk</w:t>
      </w:r>
      <w:r w:rsidR="00780956" w:rsidRPr="00CA53A1">
        <w:rPr>
          <w:sz w:val="22"/>
          <w:szCs w:val="22"/>
          <w:lang w:val="en-US"/>
        </w:rPr>
        <w:t xml:space="preserve"> of harm is enough for </w:t>
      </w:r>
      <w:r w:rsidR="00BC51A3" w:rsidRPr="00CA53A1">
        <w:rPr>
          <w:sz w:val="22"/>
          <w:szCs w:val="22"/>
          <w:lang w:val="en-US"/>
        </w:rPr>
        <w:t>collective injunctions.</w:t>
      </w:r>
    </w:p>
    <w:p w14:paraId="4EB215CE" w14:textId="40630E5F" w:rsidR="00987B11" w:rsidRPr="00CA53A1" w:rsidRDefault="0015209E" w:rsidP="00394C6C">
      <w:pPr>
        <w:spacing w:after="120"/>
        <w:ind w:firstLine="567"/>
        <w:jc w:val="both"/>
        <w:rPr>
          <w:sz w:val="22"/>
          <w:szCs w:val="22"/>
          <w:lang w:val="en-US"/>
        </w:rPr>
      </w:pPr>
      <w:r>
        <w:rPr>
          <w:sz w:val="22"/>
          <w:szCs w:val="22"/>
          <w:lang w:val="en-US"/>
        </w:rPr>
        <w:t>The</w:t>
      </w:r>
      <w:r w:rsidR="0039619E" w:rsidRPr="00CA53A1">
        <w:rPr>
          <w:sz w:val="22"/>
          <w:szCs w:val="22"/>
          <w:lang w:val="en-US"/>
        </w:rPr>
        <w:t xml:space="preserve"> </w:t>
      </w:r>
      <w:r w:rsidR="003055EB" w:rsidRPr="00CA53A1">
        <w:rPr>
          <w:sz w:val="22"/>
          <w:szCs w:val="22"/>
          <w:lang w:val="en-US"/>
        </w:rPr>
        <w:t xml:space="preserve">Court </w:t>
      </w:r>
      <w:r>
        <w:rPr>
          <w:sz w:val="22"/>
          <w:szCs w:val="22"/>
          <w:lang w:val="en-US"/>
        </w:rPr>
        <w:t xml:space="preserve">also </w:t>
      </w:r>
      <w:r w:rsidR="00B3277C">
        <w:rPr>
          <w:sz w:val="22"/>
          <w:szCs w:val="22"/>
          <w:lang w:val="en-US"/>
        </w:rPr>
        <w:t>advocated</w:t>
      </w:r>
      <w:r w:rsidR="0039619E" w:rsidRPr="00CA53A1">
        <w:rPr>
          <w:sz w:val="22"/>
          <w:szCs w:val="22"/>
          <w:lang w:val="en-US"/>
        </w:rPr>
        <w:t xml:space="preserve"> further integration between data protection and consumer law. </w:t>
      </w:r>
      <w:r w:rsidR="009D5A9B">
        <w:rPr>
          <w:sz w:val="22"/>
          <w:szCs w:val="22"/>
          <w:lang w:val="en-US"/>
        </w:rPr>
        <w:t>‘</w:t>
      </w:r>
      <w:r w:rsidR="00DB3BEA" w:rsidRPr="00CA53A1">
        <w:rPr>
          <w:sz w:val="22"/>
          <w:szCs w:val="22"/>
          <w:lang w:val="en-US"/>
        </w:rPr>
        <w:t>In the modern economy, marked by the boom in the digital economy, personal data processing is liable to affect individuals not only in their capacity as natural persons enjoying the rights conferred by Regulation (EU) 2016/679, but also</w:t>
      </w:r>
      <w:r w:rsidR="005A3D8F" w:rsidRPr="00CA53A1">
        <w:rPr>
          <w:sz w:val="22"/>
          <w:szCs w:val="22"/>
          <w:lang w:val="en-US"/>
        </w:rPr>
        <w:t xml:space="preserve"> in their capacity as consumers</w:t>
      </w:r>
      <w:r w:rsidR="009D5A9B">
        <w:rPr>
          <w:sz w:val="22"/>
          <w:szCs w:val="22"/>
          <w:lang w:val="en-US"/>
        </w:rPr>
        <w:t>’</w:t>
      </w:r>
      <w:r w:rsidR="00506988" w:rsidRPr="00CA53A1">
        <w:rPr>
          <w:rStyle w:val="Rimandonotaapidipagina"/>
          <w:sz w:val="22"/>
          <w:szCs w:val="22"/>
          <w:lang w:val="en-US"/>
        </w:rPr>
        <w:footnoteReference w:id="56"/>
      </w:r>
      <w:r w:rsidR="005A3D8F" w:rsidRPr="00CA53A1">
        <w:rPr>
          <w:sz w:val="22"/>
          <w:szCs w:val="22"/>
          <w:lang w:val="en-US"/>
        </w:rPr>
        <w:t>.</w:t>
      </w:r>
      <w:r w:rsidR="00DB3BEA" w:rsidRPr="00CA53A1">
        <w:rPr>
          <w:sz w:val="22"/>
          <w:szCs w:val="22"/>
          <w:lang w:val="en-US"/>
        </w:rPr>
        <w:t xml:space="preserve"> These are the </w:t>
      </w:r>
      <w:r w:rsidR="00394C6C">
        <w:rPr>
          <w:sz w:val="22"/>
          <w:szCs w:val="22"/>
          <w:lang w:val="en-US"/>
        </w:rPr>
        <w:t>opening</w:t>
      </w:r>
      <w:r w:rsidR="00DB3BEA" w:rsidRPr="00CA53A1">
        <w:rPr>
          <w:sz w:val="22"/>
          <w:szCs w:val="22"/>
          <w:lang w:val="en-US"/>
        </w:rPr>
        <w:t xml:space="preserve"> words of the opinion of Advocate General Jean Richard de la Tour. The </w:t>
      </w:r>
      <w:r w:rsidR="00394C6C">
        <w:rPr>
          <w:sz w:val="22"/>
          <w:szCs w:val="22"/>
          <w:lang w:val="en-US"/>
        </w:rPr>
        <w:t>ECJ</w:t>
      </w:r>
      <w:r w:rsidR="0039619E" w:rsidRPr="00CA53A1">
        <w:rPr>
          <w:sz w:val="22"/>
          <w:szCs w:val="22"/>
          <w:lang w:val="en-US"/>
        </w:rPr>
        <w:t xml:space="preserve"> </w:t>
      </w:r>
      <w:r w:rsidR="00394C6C" w:rsidRPr="00394C6C">
        <w:rPr>
          <w:sz w:val="22"/>
          <w:szCs w:val="22"/>
          <w:lang w:val="en-US"/>
        </w:rPr>
        <w:t>indicated that a legal entity can simultaneously claim an infringement of data protection law and a breach of the prohibition of unfair commercial practices, the prohibition of the use of invalid general terms and conditions, and consumer law provisions in general</w:t>
      </w:r>
      <w:r w:rsidR="008E3363" w:rsidRPr="00CA53A1">
        <w:rPr>
          <w:sz w:val="22"/>
          <w:szCs w:val="22"/>
          <w:lang w:val="en-US"/>
        </w:rPr>
        <w:t>.</w:t>
      </w:r>
      <w:r w:rsidR="00406EBD" w:rsidRPr="00CA53A1">
        <w:rPr>
          <w:rStyle w:val="Rimandonotaapidipagina"/>
          <w:sz w:val="22"/>
          <w:szCs w:val="22"/>
          <w:lang w:val="en-US"/>
        </w:rPr>
        <w:footnoteReference w:id="57"/>
      </w:r>
      <w:r w:rsidR="00A15D03" w:rsidRPr="00CA53A1">
        <w:rPr>
          <w:b/>
          <w:color w:val="FF0000"/>
          <w:sz w:val="22"/>
          <w:szCs w:val="22"/>
          <w:lang w:val="en-US"/>
        </w:rPr>
        <w:t xml:space="preserve"> </w:t>
      </w:r>
      <w:r w:rsidR="00394C6C" w:rsidRPr="00394C6C">
        <w:rPr>
          <w:color w:val="000000" w:themeColor="text1"/>
          <w:sz w:val="22"/>
          <w:szCs w:val="22"/>
          <w:lang w:val="en-US"/>
        </w:rPr>
        <w:t xml:space="preserve">Moreover, the </w:t>
      </w:r>
      <w:r w:rsidR="00DD013D">
        <w:rPr>
          <w:color w:val="000000" w:themeColor="text1"/>
          <w:sz w:val="22"/>
          <w:szCs w:val="22"/>
          <w:lang w:val="en-US"/>
        </w:rPr>
        <w:t>ECJ</w:t>
      </w:r>
      <w:r w:rsidR="00394C6C" w:rsidRPr="00394C6C">
        <w:rPr>
          <w:color w:val="000000" w:themeColor="text1"/>
          <w:sz w:val="22"/>
          <w:szCs w:val="22"/>
          <w:lang w:val="en-US"/>
        </w:rPr>
        <w:t xml:space="preserve"> cited Directive </w:t>
      </w:r>
      <w:r w:rsidR="00C44431">
        <w:rPr>
          <w:color w:val="000000" w:themeColor="text1"/>
          <w:sz w:val="22"/>
          <w:szCs w:val="22"/>
          <w:lang w:val="en-US"/>
        </w:rPr>
        <w:t xml:space="preserve">(EU) </w:t>
      </w:r>
      <w:r w:rsidR="00394C6C" w:rsidRPr="00394C6C">
        <w:rPr>
          <w:color w:val="000000" w:themeColor="text1"/>
          <w:sz w:val="22"/>
          <w:szCs w:val="22"/>
          <w:lang w:val="en-US"/>
        </w:rPr>
        <w:t>2020/1828, on the representative actions for the protection of the collective interests of consumers. In fact, the Court noted that interpreting article 80 G</w:t>
      </w:r>
      <w:r w:rsidR="007B35B4">
        <w:rPr>
          <w:color w:val="000000" w:themeColor="text1"/>
          <w:sz w:val="22"/>
          <w:szCs w:val="22"/>
          <w:lang w:val="en-US"/>
        </w:rPr>
        <w:t>DPR as allowing group actions to be</w:t>
      </w:r>
      <w:r w:rsidR="00394C6C" w:rsidRPr="00394C6C">
        <w:rPr>
          <w:color w:val="000000" w:themeColor="text1"/>
          <w:sz w:val="22"/>
          <w:szCs w:val="22"/>
          <w:lang w:val="en-US"/>
        </w:rPr>
        <w:t xml:space="preserve"> in line with t</w:t>
      </w:r>
      <w:r w:rsidR="00394C6C">
        <w:rPr>
          <w:color w:val="000000" w:themeColor="text1"/>
          <w:sz w:val="22"/>
          <w:szCs w:val="22"/>
          <w:lang w:val="en-US"/>
        </w:rPr>
        <w:t>he provisions of the Directive.</w:t>
      </w:r>
      <w:r w:rsidR="00A15D03" w:rsidRPr="00CA53A1">
        <w:rPr>
          <w:rStyle w:val="Rimandonotaapidipagina"/>
          <w:color w:val="000000" w:themeColor="text1"/>
          <w:sz w:val="22"/>
          <w:szCs w:val="22"/>
          <w:lang w:val="en-US"/>
        </w:rPr>
        <w:footnoteReference w:id="58"/>
      </w:r>
      <w:r w:rsidR="00A15D03" w:rsidRPr="00CA53A1">
        <w:rPr>
          <w:color w:val="000000" w:themeColor="text1"/>
          <w:sz w:val="22"/>
          <w:szCs w:val="22"/>
          <w:lang w:val="en-US"/>
        </w:rPr>
        <w:t xml:space="preserve"> </w:t>
      </w:r>
      <w:r w:rsidR="00394C6C" w:rsidRPr="00394C6C">
        <w:rPr>
          <w:sz w:val="22"/>
          <w:szCs w:val="22"/>
          <w:lang w:val="en-US"/>
        </w:rPr>
        <w:t xml:space="preserve">EU law would therefore seem to have armed consumers </w:t>
      </w:r>
      <w:r w:rsidR="00310C49">
        <w:rPr>
          <w:sz w:val="22"/>
          <w:szCs w:val="22"/>
          <w:lang w:val="en-US"/>
        </w:rPr>
        <w:t>with a strong</w:t>
      </w:r>
      <w:r w:rsidR="00394C6C">
        <w:rPr>
          <w:sz w:val="22"/>
          <w:szCs w:val="22"/>
          <w:lang w:val="en-US"/>
        </w:rPr>
        <w:t xml:space="preserve"> shield.</w:t>
      </w:r>
    </w:p>
    <w:p w14:paraId="66AEC7E1" w14:textId="77777777" w:rsidR="00987B11" w:rsidRDefault="00987B11" w:rsidP="00294D03">
      <w:pPr>
        <w:ind w:firstLine="708"/>
        <w:jc w:val="both"/>
        <w:rPr>
          <w:sz w:val="22"/>
          <w:szCs w:val="22"/>
          <w:lang w:val="en-US"/>
        </w:rPr>
      </w:pPr>
    </w:p>
    <w:p w14:paraId="7E757163" w14:textId="77777777" w:rsidR="005C1106" w:rsidRPr="00CA53A1" w:rsidRDefault="005C1106" w:rsidP="00294D03">
      <w:pPr>
        <w:ind w:firstLine="708"/>
        <w:jc w:val="both"/>
        <w:rPr>
          <w:sz w:val="22"/>
          <w:szCs w:val="22"/>
          <w:lang w:val="en-US"/>
        </w:rPr>
      </w:pPr>
      <w:bookmarkStart w:id="0" w:name="_GoBack"/>
      <w:bookmarkEnd w:id="0"/>
    </w:p>
    <w:p w14:paraId="4A99B0EF" w14:textId="16AB7215" w:rsidR="00DF3FD0" w:rsidRPr="00CA53A1" w:rsidRDefault="000C0ADF" w:rsidP="00294D03">
      <w:pPr>
        <w:jc w:val="both"/>
        <w:outlineLvl w:val="0"/>
        <w:rPr>
          <w:b/>
          <w:color w:val="000000" w:themeColor="text1"/>
          <w:sz w:val="22"/>
          <w:szCs w:val="22"/>
          <w:lang w:val="en-US"/>
        </w:rPr>
      </w:pPr>
      <w:r>
        <w:rPr>
          <w:b/>
          <w:sz w:val="22"/>
          <w:szCs w:val="22"/>
          <w:lang w:val="en-GB"/>
        </w:rPr>
        <w:lastRenderedPageBreak/>
        <w:t>V</w:t>
      </w:r>
      <w:r w:rsidRPr="00CA53A1">
        <w:rPr>
          <w:b/>
          <w:sz w:val="22"/>
          <w:szCs w:val="22"/>
          <w:lang w:val="en-GB"/>
        </w:rPr>
        <w:t xml:space="preserve">. </w:t>
      </w:r>
      <w:r>
        <w:rPr>
          <w:b/>
          <w:sz w:val="22"/>
          <w:szCs w:val="22"/>
          <w:lang w:val="en-GB"/>
        </w:rPr>
        <w:t xml:space="preserve">Chapter 4 </w:t>
      </w:r>
      <w:r w:rsidR="00DF3FD0" w:rsidRPr="00CA53A1">
        <w:rPr>
          <w:b/>
          <w:color w:val="000000" w:themeColor="text1"/>
          <w:sz w:val="22"/>
          <w:szCs w:val="22"/>
          <w:lang w:val="en-US"/>
        </w:rPr>
        <w:t>Collec</w:t>
      </w:r>
      <w:r w:rsidR="00A87BA8">
        <w:rPr>
          <w:b/>
          <w:color w:val="000000" w:themeColor="text1"/>
          <w:sz w:val="22"/>
          <w:szCs w:val="22"/>
          <w:lang w:val="en-US"/>
        </w:rPr>
        <w:t>tive actions: the European approach</w:t>
      </w:r>
    </w:p>
    <w:p w14:paraId="05258C95" w14:textId="77777777" w:rsidR="00DF3FD0" w:rsidRPr="00CA53A1" w:rsidRDefault="00DF3FD0" w:rsidP="00294D03">
      <w:pPr>
        <w:jc w:val="both"/>
        <w:rPr>
          <w:color w:val="000000" w:themeColor="text1"/>
          <w:sz w:val="22"/>
          <w:szCs w:val="22"/>
          <w:lang w:val="en-US"/>
        </w:rPr>
      </w:pPr>
    </w:p>
    <w:p w14:paraId="0C8ED5BF" w14:textId="2D8ACA78" w:rsidR="00DF3FD0" w:rsidRPr="00CA53A1" w:rsidRDefault="00001801" w:rsidP="00235CF6">
      <w:pPr>
        <w:spacing w:after="120"/>
        <w:ind w:firstLine="567"/>
        <w:jc w:val="both"/>
        <w:rPr>
          <w:color w:val="000000" w:themeColor="text1"/>
          <w:sz w:val="22"/>
          <w:szCs w:val="22"/>
          <w:lang w:val="en-US"/>
        </w:rPr>
      </w:pPr>
      <w:r w:rsidRPr="00001801">
        <w:rPr>
          <w:color w:val="000000" w:themeColor="text1"/>
          <w:sz w:val="22"/>
          <w:szCs w:val="22"/>
          <w:lang w:val="en-US"/>
        </w:rPr>
        <w:t>On various occasions, the European Union has expressed concern that group actions could lead to an opportunistic use of trials and become a source of easy profits for part of the legal industry. Another worry it highlighted was that group actions would compromise the right of defense and due process as well as the ri</w:t>
      </w:r>
      <w:r>
        <w:rPr>
          <w:color w:val="000000" w:themeColor="text1"/>
          <w:sz w:val="22"/>
          <w:szCs w:val="22"/>
          <w:lang w:val="en-US"/>
        </w:rPr>
        <w:t xml:space="preserve">sk of excessive standardization of </w:t>
      </w:r>
      <w:r w:rsidRPr="00001801">
        <w:rPr>
          <w:color w:val="000000" w:themeColor="text1"/>
          <w:sz w:val="22"/>
          <w:szCs w:val="22"/>
          <w:lang w:val="en-US"/>
        </w:rPr>
        <w:t>adjudication</w:t>
      </w:r>
      <w:r w:rsidR="008E3363" w:rsidRPr="00CA53A1">
        <w:rPr>
          <w:color w:val="000000" w:themeColor="text1"/>
          <w:sz w:val="22"/>
          <w:szCs w:val="22"/>
          <w:lang w:val="en-US"/>
        </w:rPr>
        <w:t>.</w:t>
      </w:r>
      <w:r w:rsidR="00DF3FD0" w:rsidRPr="00CA53A1">
        <w:rPr>
          <w:rStyle w:val="Rimandonotaapidipagina"/>
          <w:color w:val="000000" w:themeColor="text1"/>
          <w:sz w:val="22"/>
          <w:szCs w:val="22"/>
          <w:lang w:val="en-US"/>
        </w:rPr>
        <w:footnoteReference w:id="59"/>
      </w:r>
      <w:r>
        <w:rPr>
          <w:color w:val="000000" w:themeColor="text1"/>
          <w:sz w:val="22"/>
          <w:szCs w:val="22"/>
          <w:lang w:val="en-US"/>
        </w:rPr>
        <w:t xml:space="preserve"> </w:t>
      </w:r>
      <w:r w:rsidRPr="00001801">
        <w:rPr>
          <w:color w:val="000000" w:themeColor="text1"/>
          <w:sz w:val="22"/>
          <w:szCs w:val="22"/>
          <w:lang w:val="en-US"/>
        </w:rPr>
        <w:t>Some of these fears have now been add</w:t>
      </w:r>
      <w:r w:rsidR="00C44431">
        <w:rPr>
          <w:color w:val="000000" w:themeColor="text1"/>
          <w:sz w:val="22"/>
          <w:szCs w:val="22"/>
          <w:lang w:val="en-US"/>
        </w:rPr>
        <w:t>ressed by Directive (EU) 2020/1828</w:t>
      </w:r>
      <w:r w:rsidRPr="00001801">
        <w:rPr>
          <w:color w:val="000000" w:themeColor="text1"/>
          <w:sz w:val="22"/>
          <w:szCs w:val="22"/>
          <w:lang w:val="en-US"/>
        </w:rPr>
        <w:t xml:space="preserve"> on representative actions for the collective interests of consumers. This was adopted in December 2020 and is to be implemented in national la</w:t>
      </w:r>
      <w:r w:rsidR="00DD013D">
        <w:rPr>
          <w:color w:val="000000" w:themeColor="text1"/>
          <w:sz w:val="22"/>
          <w:szCs w:val="22"/>
          <w:lang w:val="en-US"/>
        </w:rPr>
        <w:t>ws by December 2022, and it</w:t>
      </w:r>
      <w:r w:rsidRPr="00001801">
        <w:rPr>
          <w:color w:val="000000" w:themeColor="text1"/>
          <w:sz w:val="22"/>
          <w:szCs w:val="22"/>
          <w:lang w:val="en-US"/>
        </w:rPr>
        <w:t xml:space="preserve"> was mentioned by the </w:t>
      </w:r>
      <w:r w:rsidR="00DD013D">
        <w:rPr>
          <w:color w:val="000000" w:themeColor="text1"/>
          <w:sz w:val="22"/>
          <w:szCs w:val="22"/>
          <w:lang w:val="en-US"/>
        </w:rPr>
        <w:t>ECJ</w:t>
      </w:r>
      <w:r w:rsidRPr="00001801">
        <w:rPr>
          <w:color w:val="000000" w:themeColor="text1"/>
          <w:sz w:val="22"/>
          <w:szCs w:val="22"/>
          <w:lang w:val="en-US"/>
        </w:rPr>
        <w:t xml:space="preserve"> in the </w:t>
      </w:r>
      <w:r w:rsidR="007B35B4">
        <w:rPr>
          <w:i/>
          <w:color w:val="000000" w:themeColor="text1"/>
          <w:sz w:val="22"/>
          <w:szCs w:val="22"/>
          <w:lang w:val="en-US"/>
        </w:rPr>
        <w:t>Meta P</w:t>
      </w:r>
      <w:r w:rsidRPr="00001801">
        <w:rPr>
          <w:i/>
          <w:color w:val="000000" w:themeColor="text1"/>
          <w:sz w:val="22"/>
          <w:szCs w:val="22"/>
          <w:lang w:val="en-US"/>
        </w:rPr>
        <w:t>latforms</w:t>
      </w:r>
      <w:r w:rsidRPr="00001801">
        <w:rPr>
          <w:color w:val="000000" w:themeColor="text1"/>
          <w:sz w:val="22"/>
          <w:szCs w:val="22"/>
          <w:lang w:val="en-US"/>
        </w:rPr>
        <w:t xml:space="preserve"> case</w:t>
      </w:r>
      <w:r>
        <w:rPr>
          <w:color w:val="000000" w:themeColor="text1"/>
          <w:sz w:val="22"/>
          <w:szCs w:val="22"/>
          <w:lang w:val="en-US"/>
        </w:rPr>
        <w:t>.</w:t>
      </w:r>
    </w:p>
    <w:p w14:paraId="5EAABAE7" w14:textId="4B3CD0A2" w:rsidR="00DF3FD0" w:rsidRPr="00CA53A1" w:rsidRDefault="00001801" w:rsidP="00235CF6">
      <w:pPr>
        <w:spacing w:after="120"/>
        <w:ind w:firstLine="567"/>
        <w:jc w:val="both"/>
        <w:rPr>
          <w:color w:val="000000" w:themeColor="text1"/>
          <w:sz w:val="22"/>
          <w:szCs w:val="22"/>
          <w:lang w:val="en-US"/>
        </w:rPr>
      </w:pPr>
      <w:r w:rsidRPr="00001801">
        <w:rPr>
          <w:color w:val="000000" w:themeColor="text1"/>
          <w:sz w:val="22"/>
          <w:szCs w:val="22"/>
          <w:lang w:val="en-US"/>
        </w:rPr>
        <w:t xml:space="preserve">Safeguarding consumer collective interests is a topic that has </w:t>
      </w:r>
      <w:r w:rsidR="00BC7F15">
        <w:rPr>
          <w:color w:val="000000" w:themeColor="text1"/>
          <w:sz w:val="22"/>
          <w:szCs w:val="22"/>
          <w:lang w:val="en-US"/>
        </w:rPr>
        <w:t xml:space="preserve">long </w:t>
      </w:r>
      <w:r w:rsidRPr="00001801">
        <w:rPr>
          <w:color w:val="000000" w:themeColor="text1"/>
          <w:sz w:val="22"/>
          <w:szCs w:val="22"/>
          <w:lang w:val="en-US"/>
        </w:rPr>
        <w:t>been discussed in the EU, being covered in a Green Paper in the early 90s. At that time, the European Commission gave preference to injunctive measures</w:t>
      </w:r>
      <w:r w:rsidR="00DF3FD0" w:rsidRPr="00CA53A1">
        <w:rPr>
          <w:color w:val="000000" w:themeColor="text1"/>
          <w:sz w:val="22"/>
          <w:szCs w:val="22"/>
          <w:lang w:val="en-US"/>
        </w:rPr>
        <w:t>.</w:t>
      </w:r>
      <w:r w:rsidR="008E3363" w:rsidRPr="00CA53A1">
        <w:rPr>
          <w:rStyle w:val="Rimandonotaapidipagina"/>
          <w:color w:val="000000" w:themeColor="text1"/>
          <w:sz w:val="22"/>
          <w:szCs w:val="22"/>
          <w:lang w:val="en-US"/>
        </w:rPr>
        <w:footnoteReference w:id="60"/>
      </w:r>
      <w:r w:rsidR="00DF3FD0" w:rsidRPr="00CA53A1">
        <w:rPr>
          <w:color w:val="000000" w:themeColor="text1"/>
          <w:sz w:val="22"/>
          <w:szCs w:val="22"/>
          <w:lang w:val="en-US"/>
        </w:rPr>
        <w:t xml:space="preserve"> This led to the </w:t>
      </w:r>
      <w:r w:rsidR="008E3D0E" w:rsidRPr="00CA53A1">
        <w:rPr>
          <w:color w:val="000000" w:themeColor="text1"/>
          <w:sz w:val="22"/>
          <w:szCs w:val="22"/>
          <w:lang w:val="en-US"/>
        </w:rPr>
        <w:t>adoption</w:t>
      </w:r>
      <w:r w:rsidR="00DF3FD0" w:rsidRPr="00CA53A1">
        <w:rPr>
          <w:color w:val="000000" w:themeColor="text1"/>
          <w:sz w:val="22"/>
          <w:szCs w:val="22"/>
          <w:lang w:val="en-US"/>
        </w:rPr>
        <w:t xml:space="preserve"> of Directive 98/27/EC</w:t>
      </w:r>
      <w:r w:rsidR="008E3363" w:rsidRPr="00CA53A1">
        <w:rPr>
          <w:color w:val="000000" w:themeColor="text1"/>
          <w:sz w:val="22"/>
          <w:szCs w:val="22"/>
          <w:lang w:val="en-US"/>
        </w:rPr>
        <w:t>,</w:t>
      </w:r>
      <w:r w:rsidR="00DF3FD0" w:rsidRPr="00CA53A1">
        <w:rPr>
          <w:rStyle w:val="Rimandonotaapidipagina"/>
          <w:color w:val="000000" w:themeColor="text1"/>
          <w:sz w:val="22"/>
          <w:szCs w:val="22"/>
          <w:lang w:val="en-US"/>
        </w:rPr>
        <w:footnoteReference w:id="61"/>
      </w:r>
      <w:r w:rsidR="00DF3FD0" w:rsidRPr="00CA53A1">
        <w:rPr>
          <w:color w:val="000000" w:themeColor="text1"/>
          <w:sz w:val="22"/>
          <w:szCs w:val="22"/>
          <w:lang w:val="en-US"/>
        </w:rPr>
        <w:t xml:space="preserve"> amended and replaced by Directive 2009/22/EC</w:t>
      </w:r>
      <w:r w:rsidR="008E3363" w:rsidRPr="00CA53A1">
        <w:rPr>
          <w:color w:val="000000" w:themeColor="text1"/>
          <w:sz w:val="22"/>
          <w:szCs w:val="22"/>
          <w:lang w:val="en-US"/>
        </w:rPr>
        <w:t>,</w:t>
      </w:r>
      <w:r w:rsidR="00DF3FD0" w:rsidRPr="00CA53A1">
        <w:rPr>
          <w:rStyle w:val="Rimandonotaapidipagina"/>
          <w:color w:val="000000" w:themeColor="text1"/>
          <w:sz w:val="22"/>
          <w:szCs w:val="22"/>
          <w:lang w:val="en-US"/>
        </w:rPr>
        <w:footnoteReference w:id="62"/>
      </w:r>
      <w:r w:rsidR="008E3363" w:rsidRPr="00CA53A1">
        <w:rPr>
          <w:color w:val="000000" w:themeColor="text1"/>
          <w:sz w:val="22"/>
          <w:szCs w:val="22"/>
          <w:lang w:val="en-US"/>
        </w:rPr>
        <w:t xml:space="preserve"> </w:t>
      </w:r>
      <w:r w:rsidR="00DF3FD0" w:rsidRPr="00CA53A1">
        <w:rPr>
          <w:color w:val="000000" w:themeColor="text1"/>
          <w:sz w:val="22"/>
          <w:szCs w:val="22"/>
          <w:lang w:val="en-US"/>
        </w:rPr>
        <w:t xml:space="preserve">now repealed by </w:t>
      </w:r>
      <w:r w:rsidR="00C44431" w:rsidRPr="00C44431">
        <w:rPr>
          <w:sz w:val="22"/>
          <w:szCs w:val="22"/>
          <w:lang w:val="en-GB"/>
        </w:rPr>
        <w:t>Dir</w:t>
      </w:r>
      <w:r w:rsidR="00C44431">
        <w:rPr>
          <w:sz w:val="22"/>
          <w:szCs w:val="22"/>
          <w:lang w:val="en-GB"/>
        </w:rPr>
        <w:t>ective</w:t>
      </w:r>
      <w:r w:rsidR="00C44431" w:rsidRPr="00C44431">
        <w:rPr>
          <w:sz w:val="22"/>
          <w:szCs w:val="22"/>
          <w:lang w:val="en-GB"/>
        </w:rPr>
        <w:t xml:space="preserve"> (EU) 2020/1828</w:t>
      </w:r>
      <w:r w:rsidR="00DF3FD0" w:rsidRPr="00CA53A1">
        <w:rPr>
          <w:color w:val="000000" w:themeColor="text1"/>
          <w:sz w:val="22"/>
          <w:szCs w:val="22"/>
          <w:lang w:val="en-US"/>
        </w:rPr>
        <w:t xml:space="preserve">. </w:t>
      </w:r>
    </w:p>
    <w:p w14:paraId="56D12ACD" w14:textId="266D02C0" w:rsidR="00DF3FD0" w:rsidRPr="00CA53A1" w:rsidRDefault="00001801" w:rsidP="00235CF6">
      <w:pPr>
        <w:spacing w:after="120"/>
        <w:ind w:firstLine="567"/>
        <w:jc w:val="both"/>
        <w:rPr>
          <w:color w:val="000000" w:themeColor="text1"/>
          <w:sz w:val="22"/>
          <w:szCs w:val="22"/>
          <w:lang w:val="en-US"/>
        </w:rPr>
      </w:pPr>
      <w:r w:rsidRPr="00001801">
        <w:rPr>
          <w:color w:val="000000" w:themeColor="text1"/>
          <w:sz w:val="22"/>
          <w:szCs w:val="22"/>
          <w:lang w:val="en-US"/>
        </w:rPr>
        <w:t>Under this new Directive, the EU also acknowledged the need to compensate damages arising from mass injuries</w:t>
      </w:r>
      <w:r>
        <w:rPr>
          <w:color w:val="000000" w:themeColor="text1"/>
          <w:sz w:val="22"/>
          <w:szCs w:val="22"/>
          <w:lang w:val="en-US"/>
        </w:rPr>
        <w:t>,</w:t>
      </w:r>
      <w:r w:rsidRPr="00001801">
        <w:rPr>
          <w:color w:val="000000" w:themeColor="text1"/>
          <w:sz w:val="22"/>
          <w:szCs w:val="22"/>
          <w:lang w:val="en-US"/>
        </w:rPr>
        <w:t xml:space="preserve"> together with the necessity to harmonize collective redress measures since man</w:t>
      </w:r>
      <w:r w:rsidR="006A05AE">
        <w:rPr>
          <w:color w:val="000000" w:themeColor="text1"/>
          <w:sz w:val="22"/>
          <w:szCs w:val="22"/>
          <w:lang w:val="en-US"/>
        </w:rPr>
        <w:t>y EU Member States had already endorsed</w:t>
      </w:r>
      <w:r w:rsidRPr="00001801">
        <w:rPr>
          <w:color w:val="000000" w:themeColor="text1"/>
          <w:sz w:val="22"/>
          <w:szCs w:val="22"/>
          <w:lang w:val="en-US"/>
        </w:rPr>
        <w:t xml:space="preserve"> these in their national procedural law</w:t>
      </w:r>
      <w:r>
        <w:rPr>
          <w:color w:val="000000" w:themeColor="text1"/>
          <w:sz w:val="22"/>
          <w:szCs w:val="22"/>
          <w:lang w:val="en-US"/>
        </w:rPr>
        <w:t>.</w:t>
      </w:r>
      <w:r w:rsidR="00DF3FD0" w:rsidRPr="00CA53A1">
        <w:rPr>
          <w:rStyle w:val="Rimandonotaapidipagina"/>
          <w:color w:val="000000" w:themeColor="text1"/>
          <w:sz w:val="22"/>
          <w:szCs w:val="22"/>
          <w:lang w:val="en-US"/>
        </w:rPr>
        <w:footnoteReference w:id="63"/>
      </w:r>
      <w:r w:rsidR="00AE1D18" w:rsidRPr="00CA53A1">
        <w:rPr>
          <w:color w:val="000000" w:themeColor="text1"/>
          <w:sz w:val="22"/>
          <w:szCs w:val="22"/>
          <w:lang w:val="en-US"/>
        </w:rPr>
        <w:t xml:space="preserve"> Thus, the Directive</w:t>
      </w:r>
      <w:r w:rsidR="00DF3FD0" w:rsidRPr="00CA53A1">
        <w:rPr>
          <w:color w:val="000000" w:themeColor="text1"/>
          <w:sz w:val="22"/>
          <w:szCs w:val="22"/>
          <w:lang w:val="en-US"/>
        </w:rPr>
        <w:t xml:space="preserve"> </w:t>
      </w:r>
      <w:r>
        <w:rPr>
          <w:color w:val="000000" w:themeColor="text1"/>
          <w:sz w:val="22"/>
          <w:szCs w:val="22"/>
          <w:lang w:val="en-US"/>
        </w:rPr>
        <w:t>provides</w:t>
      </w:r>
      <w:r w:rsidR="00DF3FD0" w:rsidRPr="00CA53A1">
        <w:rPr>
          <w:color w:val="000000" w:themeColor="text1"/>
          <w:sz w:val="22"/>
          <w:szCs w:val="22"/>
          <w:lang w:val="en-US"/>
        </w:rPr>
        <w:t xml:space="preserve"> for both injunctive and compensatory measures (</w:t>
      </w:r>
      <w:r w:rsidR="009D5A9B">
        <w:rPr>
          <w:color w:val="000000" w:themeColor="text1"/>
          <w:sz w:val="22"/>
          <w:szCs w:val="22"/>
          <w:lang w:val="en-US"/>
        </w:rPr>
        <w:t xml:space="preserve">termed ‘collective redress’, </w:t>
      </w:r>
      <w:r>
        <w:rPr>
          <w:color w:val="000000" w:themeColor="text1"/>
          <w:sz w:val="22"/>
          <w:szCs w:val="22"/>
          <w:lang w:val="en-US"/>
        </w:rPr>
        <w:t xml:space="preserve">including: </w:t>
      </w:r>
      <w:r w:rsidR="009D5A9B">
        <w:rPr>
          <w:color w:val="000000" w:themeColor="text1"/>
          <w:sz w:val="22"/>
          <w:szCs w:val="22"/>
          <w:lang w:val="en-US"/>
        </w:rPr>
        <w:t>‘</w:t>
      </w:r>
      <w:r w:rsidR="00DF3FD0" w:rsidRPr="00CA53A1">
        <w:rPr>
          <w:color w:val="000000" w:themeColor="text1"/>
          <w:sz w:val="22"/>
          <w:szCs w:val="22"/>
          <w:lang w:val="en-US"/>
        </w:rPr>
        <w:t>compensation, repair, replacement, price reduction, contract termination or reimbursement of the price paid</w:t>
      </w:r>
      <w:r w:rsidR="009D5A9B">
        <w:rPr>
          <w:color w:val="000000" w:themeColor="text1"/>
          <w:sz w:val="22"/>
          <w:szCs w:val="22"/>
          <w:lang w:val="en-US"/>
        </w:rPr>
        <w:t>’</w:t>
      </w:r>
      <w:r w:rsidR="00506988" w:rsidRPr="00CA53A1">
        <w:rPr>
          <w:rStyle w:val="Rimandonotaapidipagina"/>
          <w:color w:val="000000" w:themeColor="text1"/>
          <w:sz w:val="22"/>
          <w:szCs w:val="22"/>
          <w:lang w:val="en-US"/>
        </w:rPr>
        <w:footnoteReference w:id="64"/>
      </w:r>
      <w:r w:rsidR="00DF3FD0" w:rsidRPr="00CA53A1">
        <w:rPr>
          <w:color w:val="000000" w:themeColor="text1"/>
          <w:sz w:val="22"/>
          <w:szCs w:val="22"/>
          <w:lang w:val="en-US"/>
        </w:rPr>
        <w:t xml:space="preserve">). </w:t>
      </w:r>
    </w:p>
    <w:p w14:paraId="4A5CB577" w14:textId="1B032D09" w:rsidR="00107B4E" w:rsidRDefault="00107B4E" w:rsidP="00235CF6">
      <w:pPr>
        <w:spacing w:after="120"/>
        <w:ind w:firstLine="567"/>
        <w:jc w:val="both"/>
        <w:rPr>
          <w:color w:val="000000" w:themeColor="text1"/>
          <w:sz w:val="22"/>
          <w:szCs w:val="22"/>
          <w:lang w:val="en-US"/>
        </w:rPr>
      </w:pPr>
      <w:r w:rsidRPr="00107B4E">
        <w:rPr>
          <w:color w:val="000000" w:themeColor="text1"/>
          <w:sz w:val="22"/>
          <w:szCs w:val="22"/>
          <w:lang w:val="en-US"/>
        </w:rPr>
        <w:t>The E</w:t>
      </w:r>
      <w:r w:rsidR="0013637A">
        <w:rPr>
          <w:color w:val="000000" w:themeColor="text1"/>
          <w:sz w:val="22"/>
          <w:szCs w:val="22"/>
          <w:lang w:val="en-US"/>
        </w:rPr>
        <w:t xml:space="preserve">U also devised common rules of </w:t>
      </w:r>
      <w:r w:rsidRPr="00107B4E">
        <w:rPr>
          <w:color w:val="000000" w:themeColor="text1"/>
          <w:sz w:val="22"/>
          <w:szCs w:val="22"/>
          <w:lang w:val="en-US"/>
        </w:rPr>
        <w:t xml:space="preserve">harmonization on collective actions in this Directive. The European approach is sectorial, meaning that </w:t>
      </w:r>
      <w:r w:rsidR="00220D72">
        <w:rPr>
          <w:color w:val="000000" w:themeColor="text1"/>
          <w:sz w:val="22"/>
          <w:szCs w:val="22"/>
          <w:lang w:val="en-US"/>
        </w:rPr>
        <w:t>representative actions</w:t>
      </w:r>
      <w:r w:rsidRPr="00107B4E">
        <w:rPr>
          <w:color w:val="000000" w:themeColor="text1"/>
          <w:sz w:val="22"/>
          <w:szCs w:val="22"/>
          <w:lang w:val="en-US"/>
        </w:rPr>
        <w:t xml:space="preserve"> are established solely for consumer interests</w:t>
      </w:r>
      <w:r w:rsidR="0013637A">
        <w:rPr>
          <w:color w:val="000000" w:themeColor="text1"/>
          <w:sz w:val="22"/>
          <w:szCs w:val="22"/>
          <w:lang w:val="en-US"/>
        </w:rPr>
        <w:t xml:space="preserve"> (art 3 (1)5, Directive (EU) 1828/2020)</w:t>
      </w:r>
      <w:r w:rsidRPr="00107B4E">
        <w:rPr>
          <w:color w:val="000000" w:themeColor="text1"/>
          <w:sz w:val="22"/>
          <w:szCs w:val="22"/>
          <w:lang w:val="en-US"/>
        </w:rPr>
        <w:t>. However, States are free to enable</w:t>
      </w:r>
      <w:r w:rsidR="00220D72">
        <w:rPr>
          <w:color w:val="000000" w:themeColor="text1"/>
          <w:sz w:val="22"/>
          <w:szCs w:val="22"/>
          <w:lang w:val="en-US"/>
        </w:rPr>
        <w:t xml:space="preserve"> other</w:t>
      </w:r>
      <w:r w:rsidRPr="00107B4E">
        <w:rPr>
          <w:color w:val="000000" w:themeColor="text1"/>
          <w:sz w:val="22"/>
          <w:szCs w:val="22"/>
          <w:lang w:val="en-US"/>
        </w:rPr>
        <w:t xml:space="preserve"> group actions in different areas of law</w:t>
      </w:r>
      <w:r w:rsidR="00DF3FD0" w:rsidRPr="00CA53A1">
        <w:rPr>
          <w:color w:val="000000" w:themeColor="text1"/>
          <w:sz w:val="22"/>
          <w:szCs w:val="22"/>
          <w:lang w:val="en-US"/>
        </w:rPr>
        <w:t>.</w:t>
      </w:r>
      <w:r w:rsidR="00AE1D18" w:rsidRPr="00CA53A1">
        <w:rPr>
          <w:rStyle w:val="Rimandonotaapidipagina"/>
          <w:color w:val="000000" w:themeColor="text1"/>
          <w:sz w:val="22"/>
          <w:szCs w:val="22"/>
          <w:lang w:val="en-US"/>
        </w:rPr>
        <w:footnoteReference w:id="65"/>
      </w:r>
      <w:r w:rsidR="00DF3FD0" w:rsidRPr="00CA53A1">
        <w:rPr>
          <w:color w:val="000000" w:themeColor="text1"/>
          <w:sz w:val="22"/>
          <w:szCs w:val="22"/>
          <w:lang w:val="en-US"/>
        </w:rPr>
        <w:t xml:space="preserve"> This is the case in Italy, where the law on class actions </w:t>
      </w:r>
      <w:r w:rsidR="00411355" w:rsidRPr="00CA53A1">
        <w:rPr>
          <w:color w:val="000000" w:themeColor="text1"/>
          <w:sz w:val="22"/>
          <w:szCs w:val="22"/>
          <w:lang w:val="en-US"/>
        </w:rPr>
        <w:t xml:space="preserve">hypothetically </w:t>
      </w:r>
      <w:r w:rsidR="00DF3FD0" w:rsidRPr="00CA53A1">
        <w:rPr>
          <w:color w:val="000000" w:themeColor="text1"/>
          <w:sz w:val="22"/>
          <w:szCs w:val="22"/>
          <w:lang w:val="en-US"/>
        </w:rPr>
        <w:t xml:space="preserve">extends to every </w:t>
      </w:r>
      <w:r>
        <w:rPr>
          <w:color w:val="000000" w:themeColor="text1"/>
          <w:sz w:val="22"/>
          <w:szCs w:val="22"/>
          <w:lang w:val="en-US"/>
        </w:rPr>
        <w:t>branch</w:t>
      </w:r>
      <w:r w:rsidR="00411355" w:rsidRPr="00CA53A1">
        <w:rPr>
          <w:color w:val="000000" w:themeColor="text1"/>
          <w:sz w:val="22"/>
          <w:szCs w:val="22"/>
          <w:lang w:val="en-US"/>
        </w:rPr>
        <w:t xml:space="preserve"> of law</w:t>
      </w:r>
      <w:r w:rsidR="00DF3FD0" w:rsidRPr="00CA53A1">
        <w:rPr>
          <w:color w:val="000000" w:themeColor="text1"/>
          <w:sz w:val="22"/>
          <w:szCs w:val="22"/>
          <w:lang w:val="en-US"/>
        </w:rPr>
        <w:t>.</w:t>
      </w:r>
      <w:r w:rsidR="00AE1D18" w:rsidRPr="00CA53A1">
        <w:rPr>
          <w:rStyle w:val="Rimandonotaapidipagina"/>
          <w:color w:val="000000" w:themeColor="text1"/>
          <w:sz w:val="22"/>
          <w:szCs w:val="22"/>
          <w:lang w:val="en-US"/>
        </w:rPr>
        <w:footnoteReference w:id="66"/>
      </w:r>
      <w:r w:rsidR="00DF3FD0" w:rsidRPr="00CA53A1">
        <w:rPr>
          <w:color w:val="000000" w:themeColor="text1"/>
          <w:sz w:val="22"/>
          <w:szCs w:val="22"/>
          <w:lang w:val="en-US"/>
        </w:rPr>
        <w:t xml:space="preserve"> </w:t>
      </w:r>
      <w:r w:rsidRPr="00107B4E">
        <w:rPr>
          <w:color w:val="000000" w:themeColor="text1"/>
          <w:sz w:val="22"/>
          <w:szCs w:val="22"/>
          <w:lang w:val="en-US"/>
        </w:rPr>
        <w:t>The EU Directive confers st</w:t>
      </w:r>
      <w:r w:rsidR="00220D72">
        <w:rPr>
          <w:color w:val="000000" w:themeColor="text1"/>
          <w:sz w:val="22"/>
          <w:szCs w:val="22"/>
          <w:lang w:val="en-US"/>
        </w:rPr>
        <w:t>anding on qualified entities for starting a representative action, but</w:t>
      </w:r>
      <w:r w:rsidRPr="00107B4E">
        <w:rPr>
          <w:color w:val="000000" w:themeColor="text1"/>
          <w:sz w:val="22"/>
          <w:szCs w:val="22"/>
          <w:lang w:val="en-US"/>
        </w:rPr>
        <w:t xml:space="preserve"> States are again free to allow natural persons to act as class representatives when </w:t>
      </w:r>
      <w:r w:rsidR="00220D72">
        <w:rPr>
          <w:color w:val="000000" w:themeColor="text1"/>
          <w:sz w:val="22"/>
          <w:szCs w:val="22"/>
          <w:lang w:val="en-US"/>
        </w:rPr>
        <w:t>starting group actions according to their national laws.</w:t>
      </w:r>
    </w:p>
    <w:p w14:paraId="78E5B547" w14:textId="4491EB90" w:rsidR="00411355" w:rsidRPr="00CA53A1" w:rsidRDefault="00107B4E" w:rsidP="00235CF6">
      <w:pPr>
        <w:spacing w:after="120"/>
        <w:ind w:firstLine="567"/>
        <w:jc w:val="both"/>
        <w:rPr>
          <w:color w:val="000000" w:themeColor="text1"/>
          <w:sz w:val="22"/>
          <w:szCs w:val="22"/>
          <w:lang w:val="en-US"/>
        </w:rPr>
      </w:pPr>
      <w:r w:rsidRPr="00107B4E">
        <w:rPr>
          <w:color w:val="000000" w:themeColor="text1"/>
          <w:sz w:val="22"/>
          <w:szCs w:val="22"/>
          <w:lang w:val="en-US"/>
        </w:rPr>
        <w:t>The Directive applies only to representa</w:t>
      </w:r>
      <w:r w:rsidR="009D5A9B">
        <w:rPr>
          <w:color w:val="000000" w:themeColor="text1"/>
          <w:sz w:val="22"/>
          <w:szCs w:val="22"/>
          <w:lang w:val="en-US"/>
        </w:rPr>
        <w:t>tive actions for enforcing the ‘</w:t>
      </w:r>
      <w:r w:rsidRPr="00107B4E">
        <w:rPr>
          <w:color w:val="000000" w:themeColor="text1"/>
          <w:sz w:val="22"/>
          <w:szCs w:val="22"/>
          <w:lang w:val="en-US"/>
        </w:rPr>
        <w:t>co</w:t>
      </w:r>
      <w:r w:rsidR="009D5A9B">
        <w:rPr>
          <w:color w:val="000000" w:themeColor="text1"/>
          <w:sz w:val="22"/>
          <w:szCs w:val="22"/>
          <w:lang w:val="en-US"/>
        </w:rPr>
        <w:t>llective interests of consumers’</w:t>
      </w:r>
      <w:r w:rsidRPr="00107B4E">
        <w:rPr>
          <w:color w:val="000000" w:themeColor="text1"/>
          <w:sz w:val="22"/>
          <w:szCs w:val="22"/>
          <w:lang w:val="en-US"/>
        </w:rPr>
        <w:t xml:space="preserve"> thereby showing its intention to create a close interrelation between public and private enforcement. </w:t>
      </w:r>
      <w:r w:rsidR="00BC7F15">
        <w:rPr>
          <w:color w:val="000000" w:themeColor="text1"/>
          <w:sz w:val="22"/>
          <w:szCs w:val="22"/>
          <w:lang w:val="en-US"/>
        </w:rPr>
        <w:t>T</w:t>
      </w:r>
      <w:r w:rsidRPr="00107B4E">
        <w:rPr>
          <w:color w:val="000000" w:themeColor="text1"/>
          <w:sz w:val="22"/>
          <w:szCs w:val="22"/>
          <w:lang w:val="en-US"/>
        </w:rPr>
        <w:t>raditionally</w:t>
      </w:r>
      <w:r w:rsidR="00BC7F15">
        <w:rPr>
          <w:color w:val="000000" w:themeColor="text1"/>
          <w:sz w:val="22"/>
          <w:szCs w:val="22"/>
          <w:lang w:val="en-US"/>
        </w:rPr>
        <w:t>,</w:t>
      </w:r>
      <w:r w:rsidRPr="00107B4E">
        <w:rPr>
          <w:color w:val="000000" w:themeColor="text1"/>
          <w:sz w:val="22"/>
          <w:szCs w:val="22"/>
          <w:lang w:val="en-US"/>
        </w:rPr>
        <w:t xml:space="preserve"> public enforcement is aimed at avoiding social harm and defending collective interests, while private enforcement is employed for se</w:t>
      </w:r>
      <w:r w:rsidR="00BC7F15">
        <w:rPr>
          <w:color w:val="000000" w:themeColor="text1"/>
          <w:sz w:val="22"/>
          <w:szCs w:val="22"/>
          <w:lang w:val="en-US"/>
        </w:rPr>
        <w:t xml:space="preserve">eking individual redress. By </w:t>
      </w:r>
      <w:r w:rsidRPr="00107B4E">
        <w:rPr>
          <w:color w:val="000000" w:themeColor="text1"/>
          <w:sz w:val="22"/>
          <w:szCs w:val="22"/>
          <w:lang w:val="en-US"/>
        </w:rPr>
        <w:t xml:space="preserve">its reference to collective interests, it is evident that the boundaries dividing public and private enforcement have become increasingly blurred and the two areas are increasingly more intertwined. </w:t>
      </w:r>
      <w:r w:rsidR="00893262" w:rsidRPr="00CA53A1">
        <w:rPr>
          <w:color w:val="000000" w:themeColor="text1"/>
          <w:sz w:val="22"/>
          <w:szCs w:val="22"/>
          <w:lang w:val="en-US"/>
        </w:rPr>
        <w:t>The explicit reference to the collective interests of consumers can be explained by the need to justify collective actions in European legal systems.</w:t>
      </w:r>
      <w:r w:rsidR="00893262" w:rsidRPr="00CA53A1">
        <w:rPr>
          <w:rStyle w:val="Rimandonotaapidipagina"/>
          <w:color w:val="000000" w:themeColor="text1"/>
          <w:sz w:val="22"/>
          <w:szCs w:val="22"/>
          <w:lang w:val="en-US"/>
        </w:rPr>
        <w:footnoteReference w:id="67"/>
      </w:r>
    </w:p>
    <w:p w14:paraId="58D4C41B" w14:textId="4CC429D6" w:rsidR="00107B4E" w:rsidRDefault="00107B4E" w:rsidP="00235CF6">
      <w:pPr>
        <w:spacing w:after="120"/>
        <w:ind w:firstLine="567"/>
        <w:jc w:val="both"/>
        <w:rPr>
          <w:color w:val="000000" w:themeColor="text1"/>
          <w:sz w:val="22"/>
          <w:szCs w:val="22"/>
          <w:lang w:val="en-US"/>
        </w:rPr>
      </w:pPr>
      <w:r w:rsidRPr="00107B4E">
        <w:rPr>
          <w:color w:val="000000" w:themeColor="text1"/>
          <w:sz w:val="22"/>
          <w:szCs w:val="22"/>
          <w:lang w:val="en-US"/>
        </w:rPr>
        <w:t>Annex I of the Directive lists the GDPR among the legal acts that can be enforced through representative actions</w:t>
      </w:r>
      <w:r w:rsidR="00FA7EAC">
        <w:rPr>
          <w:rStyle w:val="Rimandonotaapidipagina"/>
          <w:color w:val="000000" w:themeColor="text1"/>
          <w:sz w:val="22"/>
          <w:szCs w:val="22"/>
          <w:lang w:val="en-US"/>
        </w:rPr>
        <w:footnoteReference w:id="68"/>
      </w:r>
      <w:r w:rsidRPr="00107B4E">
        <w:rPr>
          <w:color w:val="000000" w:themeColor="text1"/>
          <w:sz w:val="22"/>
          <w:szCs w:val="22"/>
          <w:lang w:val="en-US"/>
        </w:rPr>
        <w:t xml:space="preserve">. Indeed, violating the GDPR may harm the collective interests of consumers, such as having adequate information and commercial practices performed in good faith, fairness and loyalty, as well as transparency in </w:t>
      </w:r>
      <w:r w:rsidRPr="00107B4E">
        <w:rPr>
          <w:color w:val="000000" w:themeColor="text1"/>
          <w:sz w:val="22"/>
          <w:szCs w:val="22"/>
          <w:lang w:val="en-US"/>
        </w:rPr>
        <w:lastRenderedPageBreak/>
        <w:t>contractual relations</w:t>
      </w:r>
      <w:r w:rsidR="00AE1D18" w:rsidRPr="00CA53A1">
        <w:rPr>
          <w:color w:val="000000" w:themeColor="text1"/>
          <w:sz w:val="22"/>
          <w:szCs w:val="22"/>
          <w:lang w:val="en-US"/>
        </w:rPr>
        <w:t>.</w:t>
      </w:r>
      <w:r w:rsidR="00AE1D18" w:rsidRPr="00CA53A1">
        <w:rPr>
          <w:rStyle w:val="Rimandonotaapidipagina"/>
          <w:color w:val="000000" w:themeColor="text1"/>
          <w:sz w:val="22"/>
          <w:szCs w:val="22"/>
          <w:lang w:val="en-US"/>
        </w:rPr>
        <w:footnoteReference w:id="69"/>
      </w:r>
      <w:r w:rsidR="00DF3FD0" w:rsidRPr="00CA53A1">
        <w:rPr>
          <w:color w:val="000000" w:themeColor="text1"/>
          <w:sz w:val="22"/>
          <w:szCs w:val="22"/>
          <w:lang w:val="en-US"/>
        </w:rPr>
        <w:t xml:space="preserve"> </w:t>
      </w:r>
      <w:r w:rsidRPr="00107B4E">
        <w:rPr>
          <w:color w:val="000000" w:themeColor="text1"/>
          <w:sz w:val="22"/>
          <w:szCs w:val="22"/>
          <w:lang w:val="en-US"/>
        </w:rPr>
        <w:t xml:space="preserve">An example of harm is the case </w:t>
      </w:r>
      <w:r w:rsidRPr="00107B4E">
        <w:rPr>
          <w:i/>
          <w:color w:val="000000" w:themeColor="text1"/>
          <w:sz w:val="22"/>
          <w:szCs w:val="22"/>
          <w:lang w:val="en-US"/>
        </w:rPr>
        <w:t>Meta</w:t>
      </w:r>
      <w:r w:rsidR="007B35B4">
        <w:rPr>
          <w:i/>
          <w:color w:val="000000" w:themeColor="text1"/>
          <w:sz w:val="22"/>
          <w:szCs w:val="22"/>
          <w:lang w:val="en-US"/>
        </w:rPr>
        <w:t xml:space="preserve"> P</w:t>
      </w:r>
      <w:r w:rsidRPr="00107B4E">
        <w:rPr>
          <w:i/>
          <w:color w:val="000000" w:themeColor="text1"/>
          <w:sz w:val="22"/>
          <w:szCs w:val="22"/>
          <w:lang w:val="en-US"/>
        </w:rPr>
        <w:t>latforms v. The Federal Union</w:t>
      </w:r>
      <w:r w:rsidRPr="00107B4E">
        <w:rPr>
          <w:color w:val="000000" w:themeColor="text1"/>
          <w:sz w:val="22"/>
          <w:szCs w:val="22"/>
          <w:lang w:val="en-US"/>
        </w:rPr>
        <w:t xml:space="preserve"> where personal data were processed on the basis of uninformed and invalid consent</w:t>
      </w:r>
      <w:r w:rsidR="003D0E7A">
        <w:rPr>
          <w:color w:val="000000" w:themeColor="text1"/>
          <w:sz w:val="22"/>
          <w:szCs w:val="22"/>
          <w:lang w:val="en-US"/>
        </w:rPr>
        <w:t>,</w:t>
      </w:r>
      <w:r w:rsidRPr="00107B4E">
        <w:rPr>
          <w:color w:val="000000" w:themeColor="text1"/>
          <w:sz w:val="22"/>
          <w:szCs w:val="22"/>
          <w:lang w:val="en-US"/>
        </w:rPr>
        <w:t xml:space="preserve"> and the data controller also committed a deceptive practice by not complying with all the informatory duties prescribed by consumer law.</w:t>
      </w:r>
    </w:p>
    <w:p w14:paraId="3B157970" w14:textId="79803CC2" w:rsidR="00576528" w:rsidRPr="00CA53A1" w:rsidRDefault="00AE1D18" w:rsidP="00235CF6">
      <w:pPr>
        <w:spacing w:after="120"/>
        <w:ind w:firstLine="567"/>
        <w:jc w:val="both"/>
        <w:rPr>
          <w:color w:val="000000" w:themeColor="text1"/>
          <w:sz w:val="22"/>
          <w:szCs w:val="22"/>
          <w:lang w:val="en-US"/>
        </w:rPr>
      </w:pPr>
      <w:r w:rsidRPr="00CA53A1">
        <w:rPr>
          <w:color w:val="000000" w:themeColor="text1"/>
          <w:sz w:val="22"/>
          <w:szCs w:val="22"/>
          <w:lang w:val="en-US"/>
        </w:rPr>
        <w:t xml:space="preserve">However, the potential of the Directive could also </w:t>
      </w:r>
      <w:r w:rsidR="003D0E7A">
        <w:rPr>
          <w:color w:val="000000" w:themeColor="text1"/>
          <w:sz w:val="22"/>
          <w:szCs w:val="22"/>
          <w:lang w:val="en-US"/>
        </w:rPr>
        <w:t>extend further</w:t>
      </w:r>
      <w:r w:rsidRPr="00CA53A1">
        <w:rPr>
          <w:color w:val="000000" w:themeColor="text1"/>
          <w:sz w:val="22"/>
          <w:szCs w:val="22"/>
          <w:lang w:val="en-US"/>
        </w:rPr>
        <w:t>.</w:t>
      </w:r>
      <w:r w:rsidR="00DF3FD0" w:rsidRPr="00CA53A1">
        <w:rPr>
          <w:color w:val="000000" w:themeColor="text1"/>
          <w:sz w:val="22"/>
          <w:szCs w:val="22"/>
          <w:lang w:val="en-US"/>
        </w:rPr>
        <w:t xml:space="preserve"> </w:t>
      </w:r>
      <w:r w:rsidR="003D0E7A">
        <w:rPr>
          <w:color w:val="000000" w:themeColor="text1"/>
          <w:sz w:val="22"/>
          <w:szCs w:val="22"/>
          <w:lang w:val="en-US"/>
        </w:rPr>
        <w:t>If</w:t>
      </w:r>
      <w:r w:rsidR="00DF3FD0" w:rsidRPr="00CA53A1">
        <w:rPr>
          <w:color w:val="000000" w:themeColor="text1"/>
          <w:sz w:val="22"/>
          <w:szCs w:val="22"/>
          <w:lang w:val="en-US"/>
        </w:rPr>
        <w:t xml:space="preserve"> group data protection </w:t>
      </w:r>
      <w:r w:rsidR="003D0E7A">
        <w:rPr>
          <w:color w:val="000000" w:themeColor="text1"/>
          <w:sz w:val="22"/>
          <w:szCs w:val="22"/>
          <w:lang w:val="en-US"/>
        </w:rPr>
        <w:t>was deemed a</w:t>
      </w:r>
      <w:r w:rsidR="00DF3FD0" w:rsidRPr="00CA53A1">
        <w:rPr>
          <w:color w:val="000000" w:themeColor="text1"/>
          <w:sz w:val="22"/>
          <w:szCs w:val="22"/>
          <w:lang w:val="en-US"/>
        </w:rPr>
        <w:t xml:space="preserve"> collective interest of consumers</w:t>
      </w:r>
      <w:r w:rsidRPr="00CA53A1">
        <w:rPr>
          <w:color w:val="000000" w:themeColor="text1"/>
          <w:sz w:val="22"/>
          <w:szCs w:val="22"/>
          <w:lang w:val="en-US"/>
        </w:rPr>
        <w:t xml:space="preserve"> itself</w:t>
      </w:r>
      <w:r w:rsidR="00DF3FD0" w:rsidRPr="00CA53A1">
        <w:rPr>
          <w:color w:val="000000" w:themeColor="text1"/>
          <w:sz w:val="22"/>
          <w:szCs w:val="22"/>
          <w:lang w:val="en-US"/>
        </w:rPr>
        <w:t>, th</w:t>
      </w:r>
      <w:r w:rsidR="003D0E7A">
        <w:rPr>
          <w:color w:val="000000" w:themeColor="text1"/>
          <w:sz w:val="22"/>
          <w:szCs w:val="22"/>
          <w:lang w:val="en-US"/>
        </w:rPr>
        <w:t>en it</w:t>
      </w:r>
      <w:r w:rsidR="00DF3FD0" w:rsidRPr="00CA53A1">
        <w:rPr>
          <w:color w:val="000000" w:themeColor="text1"/>
          <w:sz w:val="22"/>
          <w:szCs w:val="22"/>
          <w:lang w:val="en-US"/>
        </w:rPr>
        <w:t xml:space="preserve"> could be directly enforced through a representative action. </w:t>
      </w:r>
      <w:r w:rsidR="00576528" w:rsidRPr="00CA53A1">
        <w:rPr>
          <w:color w:val="000000" w:themeColor="text1"/>
          <w:sz w:val="22"/>
          <w:szCs w:val="22"/>
          <w:lang w:val="en-US"/>
        </w:rPr>
        <w:t xml:space="preserve">This would mean that if </w:t>
      </w:r>
      <w:r w:rsidRPr="00CA53A1">
        <w:rPr>
          <w:color w:val="000000" w:themeColor="text1"/>
          <w:sz w:val="22"/>
          <w:szCs w:val="22"/>
          <w:lang w:val="en-US"/>
        </w:rPr>
        <w:t>the</w:t>
      </w:r>
      <w:r w:rsidR="00D60E20" w:rsidRPr="00CA53A1">
        <w:rPr>
          <w:color w:val="000000" w:themeColor="text1"/>
          <w:sz w:val="22"/>
          <w:szCs w:val="22"/>
          <w:lang w:val="en-US"/>
        </w:rPr>
        <w:t xml:space="preserve"> right to data protection </w:t>
      </w:r>
      <w:r w:rsidRPr="00CA53A1">
        <w:rPr>
          <w:color w:val="000000" w:themeColor="text1"/>
          <w:sz w:val="22"/>
          <w:szCs w:val="22"/>
          <w:lang w:val="en-US"/>
        </w:rPr>
        <w:t xml:space="preserve">of a group of users </w:t>
      </w:r>
      <w:r w:rsidR="00BC7F15">
        <w:rPr>
          <w:color w:val="000000" w:themeColor="text1"/>
          <w:sz w:val="22"/>
          <w:szCs w:val="22"/>
          <w:lang w:val="en-US"/>
        </w:rPr>
        <w:t>was</w:t>
      </w:r>
      <w:r w:rsidR="00D60E20" w:rsidRPr="00CA53A1">
        <w:rPr>
          <w:color w:val="000000" w:themeColor="text1"/>
          <w:sz w:val="22"/>
          <w:szCs w:val="22"/>
          <w:lang w:val="en-US"/>
        </w:rPr>
        <w:t xml:space="preserve"> violated</w:t>
      </w:r>
      <w:r w:rsidR="00576528" w:rsidRPr="00CA53A1">
        <w:rPr>
          <w:color w:val="000000" w:themeColor="text1"/>
          <w:sz w:val="22"/>
          <w:szCs w:val="22"/>
          <w:lang w:val="en-US"/>
        </w:rPr>
        <w:t xml:space="preserve">, </w:t>
      </w:r>
      <w:r w:rsidRPr="00CA53A1">
        <w:rPr>
          <w:color w:val="000000" w:themeColor="text1"/>
          <w:sz w:val="22"/>
          <w:szCs w:val="22"/>
          <w:lang w:val="en-US"/>
        </w:rPr>
        <w:t>a qualified entity could</w:t>
      </w:r>
      <w:r w:rsidR="00576528" w:rsidRPr="00CA53A1">
        <w:rPr>
          <w:color w:val="000000" w:themeColor="text1"/>
          <w:sz w:val="22"/>
          <w:szCs w:val="22"/>
          <w:lang w:val="en-US"/>
        </w:rPr>
        <w:t xml:space="preserve"> </w:t>
      </w:r>
      <w:r w:rsidR="003D0E7A">
        <w:rPr>
          <w:color w:val="000000" w:themeColor="text1"/>
          <w:sz w:val="22"/>
          <w:szCs w:val="22"/>
          <w:lang w:val="en-US"/>
        </w:rPr>
        <w:t>start a representative action under the Directive,</w:t>
      </w:r>
      <w:r w:rsidR="00576528" w:rsidRPr="00CA53A1">
        <w:rPr>
          <w:color w:val="000000" w:themeColor="text1"/>
          <w:sz w:val="22"/>
          <w:szCs w:val="22"/>
          <w:lang w:val="en-US"/>
        </w:rPr>
        <w:t xml:space="preserve"> without having to pr</w:t>
      </w:r>
      <w:r w:rsidR="000534A9" w:rsidRPr="00CA53A1">
        <w:rPr>
          <w:color w:val="000000" w:themeColor="text1"/>
          <w:sz w:val="22"/>
          <w:szCs w:val="22"/>
          <w:lang w:val="en-US"/>
        </w:rPr>
        <w:t xml:space="preserve">ove a contextual violation of </w:t>
      </w:r>
      <w:r w:rsidR="00576528" w:rsidRPr="00CA53A1">
        <w:rPr>
          <w:color w:val="000000" w:themeColor="text1"/>
          <w:sz w:val="22"/>
          <w:szCs w:val="22"/>
          <w:lang w:val="en-US"/>
        </w:rPr>
        <w:t>other consumer law provision</w:t>
      </w:r>
      <w:r w:rsidR="000534A9" w:rsidRPr="00CA53A1">
        <w:rPr>
          <w:color w:val="000000" w:themeColor="text1"/>
          <w:sz w:val="22"/>
          <w:szCs w:val="22"/>
          <w:lang w:val="en-US"/>
        </w:rPr>
        <w:t>s</w:t>
      </w:r>
      <w:r w:rsidR="00576528" w:rsidRPr="00CA53A1">
        <w:rPr>
          <w:color w:val="000000" w:themeColor="text1"/>
          <w:sz w:val="22"/>
          <w:szCs w:val="22"/>
          <w:lang w:val="en-US"/>
        </w:rPr>
        <w:t xml:space="preserve">. </w:t>
      </w:r>
    </w:p>
    <w:p w14:paraId="106AA7AE" w14:textId="47A7DC5B" w:rsidR="000F6B71" w:rsidRDefault="003D0E7A" w:rsidP="003D0E7A">
      <w:pPr>
        <w:ind w:firstLine="567"/>
        <w:jc w:val="both"/>
        <w:outlineLvl w:val="0"/>
        <w:rPr>
          <w:color w:val="000000" w:themeColor="text1"/>
          <w:sz w:val="22"/>
          <w:szCs w:val="22"/>
          <w:lang w:val="en-US"/>
        </w:rPr>
      </w:pPr>
      <w:r w:rsidRPr="003D0E7A">
        <w:rPr>
          <w:color w:val="000000" w:themeColor="text1"/>
          <w:sz w:val="22"/>
          <w:szCs w:val="22"/>
          <w:lang w:val="en-US"/>
        </w:rPr>
        <w:t>The following secti</w:t>
      </w:r>
      <w:r w:rsidR="009D5A9B">
        <w:rPr>
          <w:color w:val="000000" w:themeColor="text1"/>
          <w:sz w:val="22"/>
          <w:szCs w:val="22"/>
          <w:lang w:val="en-US"/>
        </w:rPr>
        <w:t>on will explore the concept of ‘group data protection’</w:t>
      </w:r>
      <w:r w:rsidRPr="003D0E7A">
        <w:rPr>
          <w:color w:val="000000" w:themeColor="text1"/>
          <w:sz w:val="22"/>
          <w:szCs w:val="22"/>
          <w:lang w:val="en-US"/>
        </w:rPr>
        <w:t xml:space="preserve"> as a collective interest of consumers followed by an analysis of the link</w:t>
      </w:r>
      <w:r w:rsidR="00BC7F15">
        <w:rPr>
          <w:color w:val="000000" w:themeColor="text1"/>
          <w:sz w:val="22"/>
          <w:szCs w:val="22"/>
          <w:lang w:val="en-US"/>
        </w:rPr>
        <w:t>s</w:t>
      </w:r>
      <w:r w:rsidRPr="003D0E7A">
        <w:rPr>
          <w:color w:val="000000" w:themeColor="text1"/>
          <w:sz w:val="22"/>
          <w:szCs w:val="22"/>
          <w:lang w:val="en-US"/>
        </w:rPr>
        <w:t xml:space="preserve"> between article 80 GDPR and the Directive on representative actions.</w:t>
      </w:r>
    </w:p>
    <w:p w14:paraId="72A65760" w14:textId="77777777" w:rsidR="003D0E7A" w:rsidRPr="00CA53A1" w:rsidRDefault="003D0E7A" w:rsidP="003D0E7A">
      <w:pPr>
        <w:spacing w:after="120"/>
        <w:jc w:val="both"/>
        <w:outlineLvl w:val="0"/>
        <w:rPr>
          <w:color w:val="000000" w:themeColor="text1"/>
          <w:sz w:val="22"/>
          <w:szCs w:val="22"/>
          <w:lang w:val="en-US"/>
        </w:rPr>
      </w:pPr>
    </w:p>
    <w:p w14:paraId="04AF4692" w14:textId="427741FB" w:rsidR="00987B11" w:rsidRPr="00CA53A1" w:rsidRDefault="000C0ADF" w:rsidP="00294D03">
      <w:pPr>
        <w:jc w:val="both"/>
        <w:outlineLvl w:val="0"/>
        <w:rPr>
          <w:b/>
          <w:sz w:val="22"/>
          <w:szCs w:val="22"/>
          <w:lang w:val="en-US"/>
        </w:rPr>
      </w:pPr>
      <w:r>
        <w:rPr>
          <w:b/>
          <w:sz w:val="22"/>
          <w:szCs w:val="22"/>
          <w:lang w:val="en-GB"/>
        </w:rPr>
        <w:t>VI</w:t>
      </w:r>
      <w:r w:rsidRPr="00CA53A1">
        <w:rPr>
          <w:b/>
          <w:sz w:val="22"/>
          <w:szCs w:val="22"/>
          <w:lang w:val="en-GB"/>
        </w:rPr>
        <w:t xml:space="preserve">. </w:t>
      </w:r>
      <w:r>
        <w:rPr>
          <w:b/>
          <w:sz w:val="22"/>
          <w:szCs w:val="22"/>
          <w:lang w:val="en-GB"/>
        </w:rPr>
        <w:t xml:space="preserve">Chapter 5 </w:t>
      </w:r>
      <w:r w:rsidR="009411F1" w:rsidRPr="00D0667B">
        <w:rPr>
          <w:b/>
          <w:i/>
          <w:sz w:val="22"/>
          <w:szCs w:val="22"/>
          <w:lang w:val="en-US"/>
        </w:rPr>
        <w:t xml:space="preserve">Group </w:t>
      </w:r>
      <w:r w:rsidR="00036C3D" w:rsidRPr="00D0667B">
        <w:rPr>
          <w:b/>
          <w:i/>
          <w:sz w:val="22"/>
          <w:szCs w:val="22"/>
          <w:lang w:val="en-US"/>
        </w:rPr>
        <w:t>data protection</w:t>
      </w:r>
      <w:r w:rsidR="00504FA0">
        <w:rPr>
          <w:b/>
          <w:sz w:val="22"/>
          <w:szCs w:val="22"/>
          <w:lang w:val="en-US"/>
        </w:rPr>
        <w:t>: a collective interest?</w:t>
      </w:r>
    </w:p>
    <w:p w14:paraId="5D692612" w14:textId="77777777" w:rsidR="00C23455" w:rsidRPr="00CA53A1" w:rsidRDefault="00C23455" w:rsidP="003D0E7A">
      <w:pPr>
        <w:spacing w:after="120"/>
        <w:jc w:val="both"/>
        <w:rPr>
          <w:sz w:val="22"/>
          <w:szCs w:val="22"/>
          <w:lang w:val="en-US"/>
        </w:rPr>
      </w:pPr>
    </w:p>
    <w:p w14:paraId="0A7888BD" w14:textId="78945C86" w:rsidR="00036C3D" w:rsidRPr="00CA53A1" w:rsidRDefault="006F1ACF" w:rsidP="00235CF6">
      <w:pPr>
        <w:spacing w:after="120"/>
        <w:ind w:firstLine="567"/>
        <w:jc w:val="both"/>
        <w:rPr>
          <w:color w:val="000000" w:themeColor="text1"/>
          <w:sz w:val="22"/>
          <w:szCs w:val="22"/>
          <w:lang w:val="en-US"/>
        </w:rPr>
      </w:pPr>
      <w:r w:rsidRPr="006F1ACF">
        <w:rPr>
          <w:color w:val="000000" w:themeColor="text1"/>
          <w:sz w:val="22"/>
          <w:szCs w:val="22"/>
          <w:lang w:val="en-US"/>
        </w:rPr>
        <w:t>One may wonder whether data p</w:t>
      </w:r>
      <w:r w:rsidR="00167534">
        <w:rPr>
          <w:color w:val="000000" w:themeColor="text1"/>
          <w:sz w:val="22"/>
          <w:szCs w:val="22"/>
          <w:lang w:val="en-US"/>
        </w:rPr>
        <w:t>rotection can be regarded as a ‘</w:t>
      </w:r>
      <w:r w:rsidRPr="006F1ACF">
        <w:rPr>
          <w:color w:val="000000" w:themeColor="text1"/>
          <w:sz w:val="22"/>
          <w:szCs w:val="22"/>
          <w:lang w:val="en-US"/>
        </w:rPr>
        <w:t xml:space="preserve">collective interest of </w:t>
      </w:r>
      <w:r w:rsidR="00167534">
        <w:rPr>
          <w:color w:val="000000" w:themeColor="text1"/>
          <w:sz w:val="22"/>
          <w:szCs w:val="22"/>
          <w:lang w:val="en-US"/>
        </w:rPr>
        <w:t>consumers’</w:t>
      </w:r>
      <w:r w:rsidRPr="006F1ACF">
        <w:rPr>
          <w:color w:val="000000" w:themeColor="text1"/>
          <w:sz w:val="22"/>
          <w:szCs w:val="22"/>
          <w:lang w:val="en-US"/>
        </w:rPr>
        <w:t>, based on the Directive. The answer to this question is crucial in assessing the possibility of group actions in this area. It is well known that</w:t>
      </w:r>
      <w:r w:rsidR="00167534">
        <w:rPr>
          <w:color w:val="000000" w:themeColor="text1"/>
          <w:sz w:val="22"/>
          <w:szCs w:val="22"/>
          <w:lang w:val="en-US"/>
        </w:rPr>
        <w:t xml:space="preserve"> while in common law ‘</w:t>
      </w:r>
      <w:r w:rsidRPr="006F1ACF">
        <w:rPr>
          <w:color w:val="000000" w:themeColor="text1"/>
          <w:sz w:val="22"/>
          <w:szCs w:val="22"/>
          <w:lang w:val="en-US"/>
        </w:rPr>
        <w:t>the</w:t>
      </w:r>
      <w:r w:rsidR="00167534">
        <w:rPr>
          <w:color w:val="000000" w:themeColor="text1"/>
          <w:sz w:val="22"/>
          <w:szCs w:val="22"/>
          <w:lang w:val="en-US"/>
        </w:rPr>
        <w:t>re is no right without a remedy’</w:t>
      </w:r>
      <w:r w:rsidR="00BC7F15">
        <w:rPr>
          <w:color w:val="000000" w:themeColor="text1"/>
          <w:sz w:val="22"/>
          <w:szCs w:val="22"/>
          <w:lang w:val="en-US"/>
        </w:rPr>
        <w:t xml:space="preserve"> in civil law jurisdictions (</w:t>
      </w:r>
      <w:r w:rsidRPr="006F1ACF">
        <w:rPr>
          <w:color w:val="000000" w:themeColor="text1"/>
          <w:sz w:val="22"/>
          <w:szCs w:val="22"/>
          <w:lang w:val="en-US"/>
        </w:rPr>
        <w:t>the majority with</w:t>
      </w:r>
      <w:r w:rsidR="00BC7F15">
        <w:rPr>
          <w:color w:val="000000" w:themeColor="text1"/>
          <w:sz w:val="22"/>
          <w:szCs w:val="22"/>
          <w:lang w:val="en-US"/>
        </w:rPr>
        <w:t xml:space="preserve">in the EU) </w:t>
      </w:r>
      <w:r w:rsidR="00167534">
        <w:rPr>
          <w:color w:val="000000" w:themeColor="text1"/>
          <w:sz w:val="22"/>
          <w:szCs w:val="22"/>
          <w:lang w:val="en-US"/>
        </w:rPr>
        <w:t>‘</w:t>
      </w:r>
      <w:r w:rsidRPr="006F1ACF">
        <w:rPr>
          <w:color w:val="000000" w:themeColor="text1"/>
          <w:sz w:val="22"/>
          <w:szCs w:val="22"/>
          <w:lang w:val="en-US"/>
        </w:rPr>
        <w:t>the right is said to precede the remedy</w:t>
      </w:r>
      <w:r w:rsidR="00167534">
        <w:rPr>
          <w:color w:val="000000" w:themeColor="text1"/>
          <w:sz w:val="22"/>
          <w:szCs w:val="22"/>
          <w:lang w:val="en-US"/>
        </w:rPr>
        <w:t>’</w:t>
      </w:r>
      <w:r w:rsidR="00506988" w:rsidRPr="00CA53A1">
        <w:rPr>
          <w:rStyle w:val="Rimandonotaapidipagina"/>
          <w:color w:val="000000" w:themeColor="text1"/>
          <w:sz w:val="22"/>
          <w:szCs w:val="22"/>
          <w:lang w:val="en-US"/>
        </w:rPr>
        <w:footnoteReference w:id="70"/>
      </w:r>
      <w:r w:rsidR="009415D2" w:rsidRPr="00CA53A1">
        <w:rPr>
          <w:color w:val="000000" w:themeColor="text1"/>
          <w:sz w:val="22"/>
          <w:szCs w:val="22"/>
          <w:lang w:val="en-US"/>
        </w:rPr>
        <w:t>.</w:t>
      </w:r>
      <w:r w:rsidR="0049760C" w:rsidRPr="00CA53A1">
        <w:rPr>
          <w:color w:val="000000" w:themeColor="text1"/>
          <w:sz w:val="22"/>
          <w:szCs w:val="22"/>
          <w:lang w:val="en-US"/>
        </w:rPr>
        <w:t xml:space="preserve"> </w:t>
      </w:r>
      <w:r w:rsidR="00122665" w:rsidRPr="00CA53A1">
        <w:rPr>
          <w:color w:val="000000" w:themeColor="text1"/>
          <w:sz w:val="22"/>
          <w:szCs w:val="22"/>
          <w:lang w:val="en-US"/>
        </w:rPr>
        <w:t>S</w:t>
      </w:r>
      <w:r w:rsidR="0049760C" w:rsidRPr="00CA53A1">
        <w:rPr>
          <w:color w:val="000000" w:themeColor="text1"/>
          <w:sz w:val="22"/>
          <w:szCs w:val="22"/>
          <w:lang w:val="en-US"/>
        </w:rPr>
        <w:t>ince aggregate litigation derogate</w:t>
      </w:r>
      <w:r w:rsidR="00167534">
        <w:rPr>
          <w:color w:val="000000" w:themeColor="text1"/>
          <w:sz w:val="22"/>
          <w:szCs w:val="22"/>
          <w:lang w:val="en-US"/>
        </w:rPr>
        <w:t>s</w:t>
      </w:r>
      <w:r w:rsidR="0049760C" w:rsidRPr="00CA53A1">
        <w:rPr>
          <w:color w:val="000000" w:themeColor="text1"/>
          <w:sz w:val="22"/>
          <w:szCs w:val="22"/>
          <w:lang w:val="en-US"/>
        </w:rPr>
        <w:t xml:space="preserve"> from </w:t>
      </w:r>
      <w:r w:rsidR="00220C73">
        <w:rPr>
          <w:color w:val="000000" w:themeColor="text1"/>
          <w:sz w:val="22"/>
          <w:szCs w:val="22"/>
          <w:lang w:val="en-US"/>
        </w:rPr>
        <w:t>the above-mentioned</w:t>
      </w:r>
      <w:r w:rsidR="0049760C" w:rsidRPr="00CA53A1">
        <w:rPr>
          <w:color w:val="000000" w:themeColor="text1"/>
          <w:sz w:val="22"/>
          <w:szCs w:val="22"/>
          <w:lang w:val="en-US"/>
        </w:rPr>
        <w:t xml:space="preserve"> characteristics of civil law jurisdictions</w:t>
      </w:r>
      <w:r w:rsidR="00220C73">
        <w:rPr>
          <w:rStyle w:val="Rimandonotaapidipagina"/>
          <w:color w:val="000000" w:themeColor="text1"/>
          <w:sz w:val="22"/>
          <w:szCs w:val="22"/>
          <w:lang w:val="en-US"/>
        </w:rPr>
        <w:footnoteReference w:id="71"/>
      </w:r>
      <w:r w:rsidR="0049760C" w:rsidRPr="00CA53A1">
        <w:rPr>
          <w:color w:val="000000" w:themeColor="text1"/>
          <w:sz w:val="22"/>
          <w:szCs w:val="22"/>
          <w:lang w:val="en-US"/>
        </w:rPr>
        <w:t xml:space="preserve">, </w:t>
      </w:r>
      <w:r w:rsidR="00167534" w:rsidRPr="00167534">
        <w:rPr>
          <w:color w:val="000000" w:themeColor="text1"/>
          <w:sz w:val="22"/>
          <w:szCs w:val="22"/>
          <w:lang w:val="en-US"/>
        </w:rPr>
        <w:t>group actions are available only for protecting certain ki</w:t>
      </w:r>
      <w:r w:rsidR="009D5A9B">
        <w:rPr>
          <w:color w:val="000000" w:themeColor="text1"/>
          <w:sz w:val="22"/>
          <w:szCs w:val="22"/>
          <w:lang w:val="en-US"/>
        </w:rPr>
        <w:t>nds of interests (for example, ‘individual homogenous rights’</w:t>
      </w:r>
      <w:r w:rsidR="00167534" w:rsidRPr="00167534">
        <w:rPr>
          <w:color w:val="000000" w:themeColor="text1"/>
          <w:sz w:val="22"/>
          <w:szCs w:val="22"/>
          <w:lang w:val="en-US"/>
        </w:rPr>
        <w:t xml:space="preserve"> in the Italian legal system). Hence it is vital to ascertain whether data protection might be regarded as collective interest to establish whether the newly adopted </w:t>
      </w:r>
      <w:r w:rsidR="00C44431" w:rsidRPr="00C44431">
        <w:rPr>
          <w:sz w:val="22"/>
          <w:szCs w:val="22"/>
          <w:lang w:val="en-GB"/>
        </w:rPr>
        <w:t>Dir</w:t>
      </w:r>
      <w:r w:rsidR="00C44431">
        <w:rPr>
          <w:sz w:val="22"/>
          <w:szCs w:val="22"/>
          <w:lang w:val="en-GB"/>
        </w:rPr>
        <w:t>ective</w:t>
      </w:r>
      <w:r w:rsidR="00C44431" w:rsidRPr="00C44431">
        <w:rPr>
          <w:sz w:val="22"/>
          <w:szCs w:val="22"/>
          <w:lang w:val="en-GB"/>
        </w:rPr>
        <w:t xml:space="preserve"> (EU) 2020/1828</w:t>
      </w:r>
      <w:r w:rsidR="00C44431">
        <w:rPr>
          <w:sz w:val="22"/>
          <w:szCs w:val="22"/>
          <w:lang w:val="en-GB"/>
        </w:rPr>
        <w:t xml:space="preserve"> </w:t>
      </w:r>
      <w:r w:rsidR="00167534" w:rsidRPr="00167534">
        <w:rPr>
          <w:color w:val="000000" w:themeColor="text1"/>
          <w:sz w:val="22"/>
          <w:szCs w:val="22"/>
          <w:lang w:val="en-US"/>
        </w:rPr>
        <w:t>could be employed for this purpose.</w:t>
      </w:r>
    </w:p>
    <w:p w14:paraId="1D0FEC19" w14:textId="750FB144" w:rsidR="005B62B9" w:rsidRPr="00CA53A1" w:rsidRDefault="00167534" w:rsidP="00235CF6">
      <w:pPr>
        <w:spacing w:after="120"/>
        <w:ind w:firstLine="567"/>
        <w:jc w:val="both"/>
        <w:rPr>
          <w:color w:val="000000" w:themeColor="text1"/>
          <w:sz w:val="22"/>
          <w:szCs w:val="22"/>
          <w:lang w:val="en-US"/>
        </w:rPr>
      </w:pPr>
      <w:r w:rsidRPr="00167534">
        <w:rPr>
          <w:color w:val="000000" w:themeColor="text1"/>
          <w:sz w:val="22"/>
          <w:szCs w:val="22"/>
          <w:lang w:val="en-US"/>
        </w:rPr>
        <w:t xml:space="preserve">In data protection law, the use of collective remedies seems to be mandated by actual facts. Not only was this affirmed in the last </w:t>
      </w:r>
      <w:r w:rsidR="00DD013D">
        <w:rPr>
          <w:color w:val="000000" w:themeColor="text1"/>
          <w:sz w:val="22"/>
          <w:szCs w:val="22"/>
          <w:lang w:val="en-US"/>
        </w:rPr>
        <w:t>ECJ</w:t>
      </w:r>
      <w:r w:rsidRPr="00167534">
        <w:rPr>
          <w:color w:val="000000" w:themeColor="text1"/>
          <w:sz w:val="22"/>
          <w:szCs w:val="22"/>
          <w:lang w:val="en-US"/>
        </w:rPr>
        <w:t xml:space="preserve"> judgment concerning this matter, but was also considered in several soft law documents enacted by the European Union</w:t>
      </w:r>
      <w:r w:rsidR="00D31877" w:rsidRPr="00CA53A1">
        <w:rPr>
          <w:color w:val="000000" w:themeColor="text1"/>
          <w:sz w:val="22"/>
          <w:szCs w:val="22"/>
          <w:lang w:val="en-US"/>
        </w:rPr>
        <w:t>,</w:t>
      </w:r>
      <w:r w:rsidR="00F05997" w:rsidRPr="00CA53A1">
        <w:rPr>
          <w:rStyle w:val="Rimandonotaapidipagina"/>
          <w:color w:val="000000" w:themeColor="text1"/>
          <w:sz w:val="22"/>
          <w:szCs w:val="22"/>
          <w:lang w:val="en-US"/>
        </w:rPr>
        <w:footnoteReference w:id="72"/>
      </w:r>
      <w:r w:rsidR="0098647E" w:rsidRPr="00CA53A1">
        <w:rPr>
          <w:color w:val="000000" w:themeColor="text1"/>
          <w:sz w:val="22"/>
          <w:szCs w:val="22"/>
          <w:lang w:val="en-US"/>
        </w:rPr>
        <w:t xml:space="preserve"> a</w:t>
      </w:r>
      <w:r w:rsidR="003D2843" w:rsidRPr="00CA53A1">
        <w:rPr>
          <w:color w:val="000000" w:themeColor="text1"/>
          <w:sz w:val="22"/>
          <w:szCs w:val="22"/>
          <w:lang w:val="en-US"/>
        </w:rPr>
        <w:t xml:space="preserve">nd in the new Directive </w:t>
      </w:r>
      <w:r w:rsidR="00C44431">
        <w:rPr>
          <w:sz w:val="22"/>
          <w:szCs w:val="22"/>
          <w:lang w:val="en-GB"/>
        </w:rPr>
        <w:t>(</w:t>
      </w:r>
      <w:r w:rsidR="00C44431" w:rsidRPr="00C44431">
        <w:rPr>
          <w:sz w:val="22"/>
          <w:szCs w:val="22"/>
          <w:lang w:val="en-GB"/>
        </w:rPr>
        <w:t>EU) 2020/1828</w:t>
      </w:r>
      <w:r w:rsidR="00C44431">
        <w:rPr>
          <w:sz w:val="22"/>
          <w:szCs w:val="22"/>
          <w:lang w:val="en-GB"/>
        </w:rPr>
        <w:t xml:space="preserve"> </w:t>
      </w:r>
      <w:r w:rsidR="0098647E" w:rsidRPr="00CA53A1">
        <w:rPr>
          <w:color w:val="000000" w:themeColor="text1"/>
          <w:sz w:val="22"/>
          <w:szCs w:val="22"/>
          <w:lang w:val="en-US"/>
        </w:rPr>
        <w:t xml:space="preserve">on </w:t>
      </w:r>
      <w:r w:rsidR="00F84B70" w:rsidRPr="00CA53A1">
        <w:rPr>
          <w:color w:val="000000" w:themeColor="text1"/>
          <w:sz w:val="22"/>
          <w:szCs w:val="22"/>
          <w:lang w:val="en-US"/>
        </w:rPr>
        <w:t>representative actions</w:t>
      </w:r>
      <w:r w:rsidR="00D31877" w:rsidRPr="00CA53A1">
        <w:rPr>
          <w:color w:val="000000" w:themeColor="text1"/>
          <w:sz w:val="22"/>
          <w:szCs w:val="22"/>
          <w:lang w:val="en-US"/>
        </w:rPr>
        <w:t>.</w:t>
      </w:r>
      <w:r w:rsidR="00F14DF8" w:rsidRPr="00CA53A1">
        <w:rPr>
          <w:rStyle w:val="Rimandonotaapidipagina"/>
          <w:color w:val="000000" w:themeColor="text1"/>
          <w:sz w:val="22"/>
          <w:szCs w:val="22"/>
          <w:lang w:val="en-US"/>
        </w:rPr>
        <w:footnoteReference w:id="73"/>
      </w:r>
      <w:r w:rsidR="00D31877" w:rsidRPr="00CA53A1">
        <w:rPr>
          <w:color w:val="000000" w:themeColor="text1"/>
          <w:sz w:val="22"/>
          <w:szCs w:val="22"/>
          <w:lang w:val="en-US"/>
        </w:rPr>
        <w:t xml:space="preserve"> </w:t>
      </w:r>
      <w:r w:rsidR="00A42653" w:rsidRPr="00CA53A1">
        <w:rPr>
          <w:color w:val="000000" w:themeColor="text1"/>
          <w:sz w:val="22"/>
          <w:szCs w:val="22"/>
          <w:lang w:val="en-US"/>
        </w:rPr>
        <w:t xml:space="preserve">As noted earlier, digital techniques of mass profiling can lead to discriminatory outcomes, and the collection of (often sensitive) data can, in the event of data breaches, result in the dissemination, theft and destruction of these data. In other words, entire groups of individuals </w:t>
      </w:r>
      <w:r w:rsidR="00D31877" w:rsidRPr="00CA53A1">
        <w:rPr>
          <w:color w:val="000000" w:themeColor="text1"/>
          <w:sz w:val="22"/>
          <w:szCs w:val="22"/>
          <w:lang w:val="en-US"/>
        </w:rPr>
        <w:t xml:space="preserve">increasingly </w:t>
      </w:r>
      <w:r w:rsidR="00A42653" w:rsidRPr="00CA53A1">
        <w:rPr>
          <w:color w:val="000000" w:themeColor="text1"/>
          <w:sz w:val="22"/>
          <w:szCs w:val="22"/>
          <w:lang w:val="en-US"/>
        </w:rPr>
        <w:t xml:space="preserve">find themselves deprived of control over </w:t>
      </w:r>
      <w:r w:rsidR="00BA2B18" w:rsidRPr="00CA53A1">
        <w:rPr>
          <w:color w:val="000000" w:themeColor="text1"/>
          <w:sz w:val="22"/>
          <w:szCs w:val="22"/>
          <w:lang w:val="en-US"/>
        </w:rPr>
        <w:t>their information</w:t>
      </w:r>
      <w:r>
        <w:rPr>
          <w:color w:val="000000" w:themeColor="text1"/>
          <w:sz w:val="22"/>
          <w:szCs w:val="22"/>
          <w:lang w:val="en-US"/>
        </w:rPr>
        <w:t xml:space="preserve">. </w:t>
      </w:r>
      <w:r w:rsidRPr="00167534">
        <w:rPr>
          <w:color w:val="000000" w:themeColor="text1"/>
          <w:sz w:val="22"/>
          <w:szCs w:val="22"/>
          <w:lang w:val="en-US"/>
        </w:rPr>
        <w:t xml:space="preserve">These people are harmed by the same unlawful conduct, but are often unaware that they are not alone. In such cases, digital practices can generate not only individual injury, but </w:t>
      </w:r>
      <w:r w:rsidR="00BC7F15">
        <w:rPr>
          <w:color w:val="000000" w:themeColor="text1"/>
          <w:sz w:val="22"/>
          <w:szCs w:val="22"/>
          <w:lang w:val="en-US"/>
        </w:rPr>
        <w:t xml:space="preserve">also </w:t>
      </w:r>
      <w:r w:rsidRPr="00167534">
        <w:rPr>
          <w:color w:val="000000" w:themeColor="text1"/>
          <w:sz w:val="22"/>
          <w:szCs w:val="22"/>
          <w:lang w:val="en-US"/>
        </w:rPr>
        <w:t>real social harm</w:t>
      </w:r>
      <w:r w:rsidR="00D31877" w:rsidRPr="00CA53A1">
        <w:rPr>
          <w:color w:val="000000" w:themeColor="text1"/>
          <w:sz w:val="22"/>
          <w:szCs w:val="22"/>
          <w:lang w:val="en-US"/>
        </w:rPr>
        <w:t>.</w:t>
      </w:r>
      <w:r w:rsidR="00F14DF8" w:rsidRPr="00CA53A1">
        <w:rPr>
          <w:rStyle w:val="Rimandonotaapidipagina"/>
          <w:color w:val="000000" w:themeColor="text1"/>
          <w:sz w:val="22"/>
          <w:szCs w:val="22"/>
          <w:lang w:val="en-US"/>
        </w:rPr>
        <w:footnoteReference w:id="74"/>
      </w:r>
    </w:p>
    <w:p w14:paraId="6132ECE6" w14:textId="53E15093" w:rsidR="00BA2B18" w:rsidRPr="00CA53A1" w:rsidRDefault="00167534" w:rsidP="00235CF6">
      <w:pPr>
        <w:spacing w:after="120"/>
        <w:ind w:firstLine="567"/>
        <w:jc w:val="both"/>
        <w:rPr>
          <w:color w:val="000000" w:themeColor="text1"/>
          <w:sz w:val="22"/>
          <w:szCs w:val="22"/>
          <w:lang w:val="en-US"/>
        </w:rPr>
      </w:pPr>
      <w:r w:rsidRPr="00167534">
        <w:rPr>
          <w:color w:val="000000" w:themeColor="text1"/>
          <w:sz w:val="22"/>
          <w:szCs w:val="22"/>
          <w:lang w:val="en-US"/>
        </w:rPr>
        <w:t>Moreover, unlawful commercial practices appear to be at odds with the interest of a data-driven economy, where market needs must be balanced and reconciled with in</w:t>
      </w:r>
      <w:r w:rsidR="00C44431">
        <w:rPr>
          <w:color w:val="000000" w:themeColor="text1"/>
          <w:sz w:val="22"/>
          <w:szCs w:val="22"/>
          <w:lang w:val="en-US"/>
        </w:rPr>
        <w:t xml:space="preserve">dividual rights and freedoms. </w:t>
      </w:r>
      <w:r w:rsidR="00C44431" w:rsidRPr="00C44431">
        <w:rPr>
          <w:sz w:val="22"/>
          <w:szCs w:val="22"/>
          <w:lang w:val="en-GB"/>
        </w:rPr>
        <w:t>Dir</w:t>
      </w:r>
      <w:r w:rsidR="00C44431">
        <w:rPr>
          <w:sz w:val="22"/>
          <w:szCs w:val="22"/>
          <w:lang w:val="en-GB"/>
        </w:rPr>
        <w:t>ective</w:t>
      </w:r>
      <w:r w:rsidR="00C44431" w:rsidRPr="00C44431">
        <w:rPr>
          <w:sz w:val="22"/>
          <w:szCs w:val="22"/>
          <w:lang w:val="en-GB"/>
        </w:rPr>
        <w:t xml:space="preserve"> </w:t>
      </w:r>
      <w:r w:rsidR="00C44431" w:rsidRPr="00C44431">
        <w:rPr>
          <w:sz w:val="22"/>
          <w:szCs w:val="22"/>
          <w:lang w:val="en-GB"/>
        </w:rPr>
        <w:lastRenderedPageBreak/>
        <w:t>(EU) 2020/1828</w:t>
      </w:r>
      <w:r w:rsidR="00C44431">
        <w:rPr>
          <w:sz w:val="22"/>
          <w:szCs w:val="22"/>
          <w:lang w:val="en-GB"/>
        </w:rPr>
        <w:t xml:space="preserve"> </w:t>
      </w:r>
      <w:r w:rsidRPr="00167534">
        <w:rPr>
          <w:color w:val="000000" w:themeColor="text1"/>
          <w:sz w:val="22"/>
          <w:szCs w:val="22"/>
          <w:lang w:val="en-US"/>
        </w:rPr>
        <w:t>explicitly mentions the GDPR as one of the regulatory acts whose violation may have an impact on the collective interests of consumers</w:t>
      </w:r>
      <w:r w:rsidR="00D31877" w:rsidRPr="00CA53A1">
        <w:rPr>
          <w:color w:val="000000" w:themeColor="text1"/>
          <w:sz w:val="22"/>
          <w:szCs w:val="22"/>
          <w:lang w:val="en-US"/>
        </w:rPr>
        <w:t>.</w:t>
      </w:r>
      <w:r w:rsidR="00F14DF8" w:rsidRPr="00CA53A1">
        <w:rPr>
          <w:rStyle w:val="Rimandonotaapidipagina"/>
          <w:color w:val="000000" w:themeColor="text1"/>
          <w:sz w:val="22"/>
          <w:szCs w:val="22"/>
          <w:lang w:val="en-US"/>
        </w:rPr>
        <w:footnoteReference w:id="75"/>
      </w:r>
    </w:p>
    <w:p w14:paraId="049FBE21" w14:textId="74D0846E" w:rsidR="00524226" w:rsidRPr="00CA53A1" w:rsidRDefault="00167534" w:rsidP="00235CF6">
      <w:pPr>
        <w:spacing w:after="120"/>
        <w:ind w:firstLine="567"/>
        <w:jc w:val="both"/>
        <w:rPr>
          <w:color w:val="000000" w:themeColor="text1"/>
          <w:sz w:val="22"/>
          <w:szCs w:val="22"/>
          <w:lang w:val="en-US"/>
        </w:rPr>
      </w:pPr>
      <w:r w:rsidRPr="00167534">
        <w:rPr>
          <w:color w:val="000000" w:themeColor="text1"/>
          <w:sz w:val="22"/>
          <w:szCs w:val="22"/>
          <w:lang w:val="en-US"/>
        </w:rPr>
        <w:t xml:space="preserve">The above upholds the existence of a general interest in fair personal data processing, which preserves the fundamental rights and freedoms of groups of individuals subjected to the same digital techniques. This interest goes hand in hand with the individual right to personal data protection, namely the right to control one’s personal information and the term </w:t>
      </w:r>
      <w:r w:rsidR="00D0667B">
        <w:rPr>
          <w:color w:val="000000" w:themeColor="text1"/>
          <w:sz w:val="22"/>
          <w:szCs w:val="22"/>
          <w:lang w:val="en-US"/>
        </w:rPr>
        <w:t>‘</w:t>
      </w:r>
      <w:r w:rsidRPr="00D0667B">
        <w:rPr>
          <w:color w:val="000000" w:themeColor="text1"/>
          <w:sz w:val="22"/>
          <w:szCs w:val="22"/>
          <w:lang w:val="en-US"/>
        </w:rPr>
        <w:t>group data protection</w:t>
      </w:r>
      <w:r w:rsidR="00D0667B">
        <w:rPr>
          <w:color w:val="000000" w:themeColor="text1"/>
          <w:sz w:val="22"/>
          <w:szCs w:val="22"/>
          <w:lang w:val="en-US"/>
        </w:rPr>
        <w:t>’</w:t>
      </w:r>
      <w:r w:rsidRPr="00167534">
        <w:rPr>
          <w:i/>
          <w:color w:val="000000" w:themeColor="text1"/>
          <w:sz w:val="22"/>
          <w:szCs w:val="22"/>
          <w:lang w:val="en-US"/>
        </w:rPr>
        <w:t xml:space="preserve"> </w:t>
      </w:r>
      <w:r>
        <w:rPr>
          <w:color w:val="000000" w:themeColor="text1"/>
          <w:sz w:val="22"/>
          <w:szCs w:val="22"/>
          <w:lang w:val="en-US"/>
        </w:rPr>
        <w:t>may encompass</w:t>
      </w:r>
      <w:r w:rsidRPr="00167534">
        <w:rPr>
          <w:color w:val="000000" w:themeColor="text1"/>
          <w:sz w:val="22"/>
          <w:szCs w:val="22"/>
          <w:lang w:val="en-US"/>
        </w:rPr>
        <w:t xml:space="preserve"> this notion</w:t>
      </w:r>
      <w:r w:rsidR="00D31877" w:rsidRPr="00CA53A1">
        <w:rPr>
          <w:color w:val="000000" w:themeColor="text1"/>
          <w:sz w:val="22"/>
          <w:szCs w:val="22"/>
          <w:lang w:val="en-US"/>
        </w:rPr>
        <w:t>.</w:t>
      </w:r>
      <w:r w:rsidR="00F14DF8" w:rsidRPr="00CA53A1">
        <w:rPr>
          <w:rStyle w:val="Rimandonotaapidipagina"/>
          <w:color w:val="000000" w:themeColor="text1"/>
          <w:sz w:val="22"/>
          <w:szCs w:val="22"/>
          <w:lang w:val="en-US"/>
        </w:rPr>
        <w:footnoteReference w:id="76"/>
      </w:r>
      <w:r w:rsidR="00524226" w:rsidRPr="00CA53A1">
        <w:rPr>
          <w:color w:val="000000" w:themeColor="text1"/>
          <w:sz w:val="22"/>
          <w:szCs w:val="22"/>
          <w:lang w:val="en-US"/>
        </w:rPr>
        <w:t xml:space="preserve"> </w:t>
      </w:r>
    </w:p>
    <w:p w14:paraId="7B02CEDF" w14:textId="17C1C818" w:rsidR="0049760C" w:rsidRPr="00CA53A1" w:rsidRDefault="00167534" w:rsidP="00235CF6">
      <w:pPr>
        <w:spacing w:after="120"/>
        <w:ind w:firstLine="567"/>
        <w:jc w:val="both"/>
        <w:rPr>
          <w:color w:val="000000" w:themeColor="text1"/>
          <w:sz w:val="22"/>
          <w:szCs w:val="22"/>
          <w:lang w:val="en-US"/>
        </w:rPr>
      </w:pPr>
      <w:r w:rsidRPr="00167534">
        <w:rPr>
          <w:color w:val="000000" w:themeColor="text1"/>
          <w:sz w:val="22"/>
          <w:szCs w:val="22"/>
          <w:lang w:val="en-US"/>
        </w:rPr>
        <w:t xml:space="preserve">The dual nature of group data protection, an individual right and a supra-individual interest, is </w:t>
      </w:r>
      <w:r>
        <w:rPr>
          <w:color w:val="000000" w:themeColor="text1"/>
          <w:sz w:val="22"/>
          <w:szCs w:val="22"/>
          <w:lang w:val="en-US"/>
        </w:rPr>
        <w:t xml:space="preserve">similar </w:t>
      </w:r>
      <w:r w:rsidRPr="00167534">
        <w:rPr>
          <w:color w:val="000000" w:themeColor="text1"/>
          <w:sz w:val="22"/>
          <w:szCs w:val="22"/>
          <w:lang w:val="en-US"/>
        </w:rPr>
        <w:t xml:space="preserve">to that witnessed in other sectors, for example the right to fair competition, the proper functioning of the </w:t>
      </w:r>
      <w:r w:rsidR="00711C55">
        <w:rPr>
          <w:color w:val="000000" w:themeColor="text1"/>
          <w:sz w:val="22"/>
          <w:szCs w:val="22"/>
          <w:lang w:val="en-US"/>
        </w:rPr>
        <w:t>market, fair business practices and</w:t>
      </w:r>
      <w:r w:rsidRPr="00167534">
        <w:rPr>
          <w:color w:val="000000" w:themeColor="text1"/>
          <w:sz w:val="22"/>
          <w:szCs w:val="22"/>
          <w:lang w:val="en-US"/>
        </w:rPr>
        <w:t xml:space="preserve"> </w:t>
      </w:r>
      <w:r w:rsidR="00711C55">
        <w:rPr>
          <w:color w:val="000000" w:themeColor="text1"/>
          <w:sz w:val="22"/>
          <w:szCs w:val="22"/>
          <w:lang w:val="en-US"/>
        </w:rPr>
        <w:t>correct information</w:t>
      </w:r>
      <w:r w:rsidR="00D31877" w:rsidRPr="00CA53A1">
        <w:rPr>
          <w:color w:val="000000" w:themeColor="text1"/>
          <w:sz w:val="22"/>
          <w:szCs w:val="22"/>
          <w:lang w:val="en-US"/>
        </w:rPr>
        <w:t>.</w:t>
      </w:r>
      <w:r w:rsidR="00F14DF8" w:rsidRPr="00CA53A1">
        <w:rPr>
          <w:rStyle w:val="Rimandonotaapidipagina"/>
          <w:color w:val="000000" w:themeColor="text1"/>
          <w:sz w:val="22"/>
          <w:szCs w:val="22"/>
          <w:lang w:val="en-US"/>
        </w:rPr>
        <w:footnoteReference w:id="77"/>
      </w:r>
      <w:r w:rsidR="0049760C" w:rsidRPr="00CA53A1">
        <w:rPr>
          <w:color w:val="000000" w:themeColor="text1"/>
          <w:sz w:val="22"/>
          <w:szCs w:val="22"/>
          <w:lang w:val="en-US"/>
        </w:rPr>
        <w:t xml:space="preserve"> </w:t>
      </w:r>
    </w:p>
    <w:p w14:paraId="01454D56" w14:textId="0BF6BCF8" w:rsidR="00DF3FD0" w:rsidRDefault="00167534" w:rsidP="00294D03">
      <w:pPr>
        <w:jc w:val="both"/>
        <w:rPr>
          <w:color w:val="000000" w:themeColor="text1"/>
          <w:sz w:val="22"/>
          <w:szCs w:val="22"/>
          <w:lang w:val="en-US"/>
        </w:rPr>
      </w:pPr>
      <w:r w:rsidRPr="00167534">
        <w:rPr>
          <w:color w:val="000000" w:themeColor="text1"/>
          <w:sz w:val="22"/>
          <w:szCs w:val="22"/>
          <w:lang w:val="en-US"/>
        </w:rPr>
        <w:t>Group data protection would therefor</w:t>
      </w:r>
      <w:r w:rsidR="009D5A9B">
        <w:rPr>
          <w:color w:val="000000" w:themeColor="text1"/>
          <w:sz w:val="22"/>
          <w:szCs w:val="22"/>
          <w:lang w:val="en-US"/>
        </w:rPr>
        <w:t>e fall under the definition of ‘collective interest’</w:t>
      </w:r>
      <w:r w:rsidRPr="00167534">
        <w:rPr>
          <w:color w:val="000000" w:themeColor="text1"/>
          <w:sz w:val="22"/>
          <w:szCs w:val="22"/>
          <w:lang w:val="en-US"/>
        </w:rPr>
        <w:t xml:space="preserve"> provide</w:t>
      </w:r>
      <w:r w:rsidR="00C44431">
        <w:rPr>
          <w:color w:val="000000" w:themeColor="text1"/>
          <w:sz w:val="22"/>
          <w:szCs w:val="22"/>
          <w:lang w:val="en-US"/>
        </w:rPr>
        <w:t xml:space="preserve">d in the Directive (article </w:t>
      </w:r>
      <w:r w:rsidR="0001150A">
        <w:rPr>
          <w:color w:val="000000" w:themeColor="text1"/>
          <w:sz w:val="22"/>
          <w:szCs w:val="22"/>
          <w:lang w:val="en-US"/>
        </w:rPr>
        <w:t>3, Directive</w:t>
      </w:r>
      <w:r w:rsidRPr="00167534">
        <w:rPr>
          <w:color w:val="000000" w:themeColor="text1"/>
          <w:sz w:val="22"/>
          <w:szCs w:val="22"/>
          <w:lang w:val="en-US"/>
        </w:rPr>
        <w:t xml:space="preserve"> </w:t>
      </w:r>
      <w:r w:rsidR="00C44431">
        <w:rPr>
          <w:color w:val="000000" w:themeColor="text1"/>
          <w:sz w:val="22"/>
          <w:szCs w:val="22"/>
          <w:lang w:val="en-US"/>
        </w:rPr>
        <w:t>(</w:t>
      </w:r>
      <w:r w:rsidR="008A1C03">
        <w:rPr>
          <w:color w:val="000000" w:themeColor="text1"/>
          <w:sz w:val="22"/>
          <w:szCs w:val="22"/>
          <w:lang w:val="en-US"/>
        </w:rPr>
        <w:t>EU</w:t>
      </w:r>
      <w:r w:rsidR="00C44431">
        <w:rPr>
          <w:color w:val="000000" w:themeColor="text1"/>
          <w:sz w:val="22"/>
          <w:szCs w:val="22"/>
          <w:lang w:val="en-US"/>
        </w:rPr>
        <w:t>)</w:t>
      </w:r>
      <w:r w:rsidR="008A1C03">
        <w:rPr>
          <w:color w:val="000000" w:themeColor="text1"/>
          <w:sz w:val="22"/>
          <w:szCs w:val="22"/>
          <w:lang w:val="en-US"/>
        </w:rPr>
        <w:t xml:space="preserve"> </w:t>
      </w:r>
      <w:r w:rsidRPr="00167534">
        <w:rPr>
          <w:color w:val="000000" w:themeColor="text1"/>
          <w:sz w:val="22"/>
          <w:szCs w:val="22"/>
          <w:lang w:val="en-US"/>
        </w:rPr>
        <w:t>2020/1828), consequently allowing new European representative action to be used in this sector. Given that an interest as group data protection exists, the focus will now shift to the relationship between Direct</w:t>
      </w:r>
      <w:r w:rsidR="0001150A">
        <w:rPr>
          <w:color w:val="000000" w:themeColor="text1"/>
          <w:sz w:val="22"/>
          <w:szCs w:val="22"/>
          <w:lang w:val="en-US"/>
        </w:rPr>
        <w:t>ive (EU) 2020/1828</w:t>
      </w:r>
      <w:r w:rsidRPr="00167534">
        <w:rPr>
          <w:color w:val="000000" w:themeColor="text1"/>
          <w:sz w:val="22"/>
          <w:szCs w:val="22"/>
          <w:lang w:val="en-US"/>
        </w:rPr>
        <w:t xml:space="preserve"> and article 80 GDPR.</w:t>
      </w:r>
    </w:p>
    <w:p w14:paraId="7953D06F" w14:textId="77777777" w:rsidR="00167534" w:rsidRPr="00CA53A1" w:rsidRDefault="00167534" w:rsidP="00167534">
      <w:pPr>
        <w:spacing w:after="120"/>
        <w:jc w:val="both"/>
        <w:rPr>
          <w:b/>
          <w:color w:val="000000" w:themeColor="text1"/>
          <w:sz w:val="22"/>
          <w:szCs w:val="22"/>
          <w:lang w:val="en-US"/>
        </w:rPr>
      </w:pPr>
    </w:p>
    <w:p w14:paraId="49212125" w14:textId="2D96A5B0" w:rsidR="008B7E0A" w:rsidRPr="00CA53A1" w:rsidRDefault="000C0ADF" w:rsidP="00294D03">
      <w:pPr>
        <w:jc w:val="both"/>
        <w:outlineLvl w:val="0"/>
        <w:rPr>
          <w:b/>
          <w:color w:val="000000" w:themeColor="text1"/>
          <w:sz w:val="22"/>
          <w:szCs w:val="22"/>
          <w:lang w:val="en-US"/>
        </w:rPr>
      </w:pPr>
      <w:r>
        <w:rPr>
          <w:b/>
          <w:sz w:val="22"/>
          <w:szCs w:val="22"/>
          <w:lang w:val="en-GB"/>
        </w:rPr>
        <w:t>VII</w:t>
      </w:r>
      <w:r w:rsidRPr="00CA53A1">
        <w:rPr>
          <w:b/>
          <w:sz w:val="22"/>
          <w:szCs w:val="22"/>
          <w:lang w:val="en-GB"/>
        </w:rPr>
        <w:t xml:space="preserve">. </w:t>
      </w:r>
      <w:r>
        <w:rPr>
          <w:b/>
          <w:sz w:val="22"/>
          <w:szCs w:val="22"/>
          <w:lang w:val="en-GB"/>
        </w:rPr>
        <w:t xml:space="preserve">Chapter 6 </w:t>
      </w:r>
      <w:r w:rsidR="00E72E6E" w:rsidRPr="00CA53A1">
        <w:rPr>
          <w:b/>
          <w:color w:val="000000" w:themeColor="text1"/>
          <w:sz w:val="22"/>
          <w:szCs w:val="22"/>
          <w:lang w:val="en-US"/>
        </w:rPr>
        <w:t>Data</w:t>
      </w:r>
      <w:r w:rsidR="008B7E0A" w:rsidRPr="00CA53A1">
        <w:rPr>
          <w:b/>
          <w:color w:val="000000" w:themeColor="text1"/>
          <w:sz w:val="22"/>
          <w:szCs w:val="22"/>
          <w:lang w:val="en-US"/>
        </w:rPr>
        <w:t xml:space="preserve"> protection</w:t>
      </w:r>
      <w:r w:rsidR="00E72E6E" w:rsidRPr="00CA53A1">
        <w:rPr>
          <w:b/>
          <w:color w:val="000000" w:themeColor="text1"/>
          <w:sz w:val="22"/>
          <w:szCs w:val="22"/>
          <w:lang w:val="en-US"/>
        </w:rPr>
        <w:t xml:space="preserve"> and consumer law</w:t>
      </w:r>
      <w:r w:rsidR="008B7E0A" w:rsidRPr="00CA53A1">
        <w:rPr>
          <w:b/>
          <w:color w:val="000000" w:themeColor="text1"/>
          <w:sz w:val="22"/>
          <w:szCs w:val="22"/>
          <w:lang w:val="en-US"/>
        </w:rPr>
        <w:t>: a</w:t>
      </w:r>
      <w:r w:rsidR="002F3920" w:rsidRPr="00CA53A1">
        <w:rPr>
          <w:b/>
          <w:color w:val="000000" w:themeColor="text1"/>
          <w:sz w:val="22"/>
          <w:szCs w:val="22"/>
          <w:lang w:val="en-US"/>
        </w:rPr>
        <w:t>n integrated enforcement system</w:t>
      </w:r>
    </w:p>
    <w:p w14:paraId="11B7356B" w14:textId="77777777" w:rsidR="00C04A12" w:rsidRPr="00CA53A1" w:rsidRDefault="00C04A12" w:rsidP="00DA1B28">
      <w:pPr>
        <w:spacing w:after="120"/>
        <w:jc w:val="both"/>
        <w:rPr>
          <w:b/>
          <w:color w:val="000000" w:themeColor="text1"/>
          <w:sz w:val="22"/>
          <w:szCs w:val="22"/>
          <w:lang w:val="en-US"/>
        </w:rPr>
      </w:pPr>
    </w:p>
    <w:p w14:paraId="1452A9F4" w14:textId="6E990308" w:rsidR="00A15D03" w:rsidRPr="00CA53A1" w:rsidRDefault="000A1EF0" w:rsidP="00235CF6">
      <w:pPr>
        <w:spacing w:after="120"/>
        <w:ind w:firstLine="567"/>
        <w:jc w:val="both"/>
        <w:rPr>
          <w:color w:val="000000" w:themeColor="text1"/>
          <w:sz w:val="22"/>
          <w:szCs w:val="22"/>
          <w:lang w:val="en-US"/>
        </w:rPr>
      </w:pPr>
      <w:r w:rsidRPr="000A1EF0">
        <w:rPr>
          <w:color w:val="000000" w:themeColor="text1"/>
          <w:sz w:val="22"/>
          <w:szCs w:val="22"/>
          <w:lang w:val="en-US"/>
        </w:rPr>
        <w:t xml:space="preserve">Given that users are frequently both consumers and data </w:t>
      </w:r>
      <w:r w:rsidR="00740E13">
        <w:rPr>
          <w:color w:val="000000" w:themeColor="text1"/>
          <w:sz w:val="22"/>
          <w:szCs w:val="22"/>
          <w:lang w:val="en-US"/>
        </w:rPr>
        <w:t>subjects, Directive (EU) 2020/1828</w:t>
      </w:r>
      <w:r w:rsidRPr="000A1EF0">
        <w:rPr>
          <w:color w:val="000000" w:themeColor="text1"/>
          <w:sz w:val="22"/>
          <w:szCs w:val="22"/>
          <w:lang w:val="en-US"/>
        </w:rPr>
        <w:t xml:space="preserve"> and article 80 GDPR may overlap and interfere with each other in the future. Wh</w:t>
      </w:r>
      <w:r w:rsidR="00BC7F15">
        <w:rPr>
          <w:color w:val="000000" w:themeColor="text1"/>
          <w:sz w:val="22"/>
          <w:szCs w:val="22"/>
          <w:lang w:val="en-US"/>
        </w:rPr>
        <w:t>en interpreting article 80 GDPR</w:t>
      </w:r>
      <w:r w:rsidRPr="000A1EF0">
        <w:rPr>
          <w:color w:val="000000" w:themeColor="text1"/>
          <w:sz w:val="22"/>
          <w:szCs w:val="22"/>
          <w:lang w:val="en-US"/>
        </w:rPr>
        <w:t xml:space="preserve"> in the case </w:t>
      </w:r>
      <w:r w:rsidRPr="007B35B4">
        <w:rPr>
          <w:i/>
          <w:color w:val="000000" w:themeColor="text1"/>
          <w:sz w:val="22"/>
          <w:szCs w:val="22"/>
          <w:lang w:val="en-US"/>
        </w:rPr>
        <w:t>Meta Platforms</w:t>
      </w:r>
      <w:r w:rsidRPr="000A1EF0">
        <w:rPr>
          <w:color w:val="000000" w:themeColor="text1"/>
          <w:sz w:val="22"/>
          <w:szCs w:val="22"/>
          <w:lang w:val="en-US"/>
        </w:rPr>
        <w:t xml:space="preserve">, the </w:t>
      </w:r>
      <w:r w:rsidR="00DD013D">
        <w:rPr>
          <w:color w:val="000000" w:themeColor="text1"/>
          <w:sz w:val="22"/>
          <w:szCs w:val="22"/>
          <w:lang w:val="en-US"/>
        </w:rPr>
        <w:t>ECJ</w:t>
      </w:r>
      <w:r w:rsidRPr="000A1EF0">
        <w:rPr>
          <w:color w:val="000000" w:themeColor="text1"/>
          <w:sz w:val="22"/>
          <w:szCs w:val="22"/>
          <w:lang w:val="en-US"/>
        </w:rPr>
        <w:t xml:space="preserve"> affirmed that the Directive on representative actions: </w:t>
      </w:r>
      <w:r>
        <w:rPr>
          <w:color w:val="000000" w:themeColor="text1"/>
          <w:sz w:val="22"/>
          <w:szCs w:val="22"/>
          <w:lang w:val="en-US"/>
        </w:rPr>
        <w:t>‘</w:t>
      </w:r>
      <w:r w:rsidR="00A15D03" w:rsidRPr="00CA53A1">
        <w:rPr>
          <w:color w:val="000000" w:themeColor="text1"/>
          <w:sz w:val="22"/>
          <w:szCs w:val="22"/>
          <w:lang w:val="en-US"/>
        </w:rPr>
        <w:t>[…] contains sever</w:t>
      </w:r>
      <w:r w:rsidR="00C44431">
        <w:rPr>
          <w:color w:val="000000" w:themeColor="text1"/>
          <w:sz w:val="22"/>
          <w:szCs w:val="22"/>
          <w:lang w:val="en-US"/>
        </w:rPr>
        <w:t>al elements which confirm that a</w:t>
      </w:r>
      <w:r w:rsidR="00A15D03" w:rsidRPr="00CA53A1">
        <w:rPr>
          <w:color w:val="000000" w:themeColor="text1"/>
          <w:sz w:val="22"/>
          <w:szCs w:val="22"/>
          <w:lang w:val="en-US"/>
        </w:rPr>
        <w:t>rticle 80 of the GDPR does not preclude the bringing of additional representative actions in the field of consumer protection</w:t>
      </w:r>
      <w:r>
        <w:rPr>
          <w:color w:val="000000" w:themeColor="text1"/>
          <w:sz w:val="22"/>
          <w:szCs w:val="22"/>
          <w:lang w:val="en-US"/>
        </w:rPr>
        <w:t>’</w:t>
      </w:r>
      <w:r w:rsidRPr="00CA53A1">
        <w:rPr>
          <w:rStyle w:val="Rimandonotaapidipagina"/>
          <w:color w:val="000000" w:themeColor="text1"/>
          <w:sz w:val="22"/>
          <w:szCs w:val="22"/>
          <w:lang w:val="en-US"/>
        </w:rPr>
        <w:footnoteReference w:id="78"/>
      </w:r>
      <w:r w:rsidR="00A15D03" w:rsidRPr="00CA53A1">
        <w:rPr>
          <w:color w:val="000000" w:themeColor="text1"/>
          <w:sz w:val="22"/>
          <w:szCs w:val="22"/>
          <w:lang w:val="en-US"/>
        </w:rPr>
        <w:t xml:space="preserve">. </w:t>
      </w:r>
      <w:r w:rsidR="00B969C3" w:rsidRPr="00CA53A1">
        <w:rPr>
          <w:color w:val="000000" w:themeColor="text1"/>
          <w:sz w:val="22"/>
          <w:szCs w:val="22"/>
          <w:lang w:val="en-US"/>
        </w:rPr>
        <w:t>In fact, recital 11 of the Directive states that representative actions do not replace existing legal provisions on group actions.</w:t>
      </w:r>
    </w:p>
    <w:p w14:paraId="209669CB" w14:textId="27BA95F8" w:rsidR="00EA6310" w:rsidRPr="00CA53A1" w:rsidRDefault="000A1EF0" w:rsidP="00235CF6">
      <w:pPr>
        <w:spacing w:after="120"/>
        <w:ind w:firstLine="567"/>
        <w:jc w:val="both"/>
        <w:rPr>
          <w:color w:val="000000" w:themeColor="text1"/>
          <w:sz w:val="22"/>
          <w:szCs w:val="22"/>
          <w:lang w:val="en-US"/>
        </w:rPr>
      </w:pPr>
      <w:r w:rsidRPr="000A1EF0">
        <w:rPr>
          <w:color w:val="000000" w:themeColor="text1"/>
          <w:sz w:val="22"/>
          <w:szCs w:val="22"/>
          <w:lang w:val="en-US"/>
        </w:rPr>
        <w:t xml:space="preserve">At first glance, the provisions of the Directive appear compatible with article 80 GDPR. As stated above, the GDPR empowers certain legal entities to bring representative actions and claim both injunctive and redress remedies. </w:t>
      </w:r>
      <w:r w:rsidR="006E1172" w:rsidRPr="00CA53A1">
        <w:rPr>
          <w:color w:val="000000" w:themeColor="text1"/>
          <w:sz w:val="22"/>
          <w:szCs w:val="22"/>
          <w:lang w:val="en-US"/>
        </w:rPr>
        <w:t xml:space="preserve">The </w:t>
      </w:r>
      <w:r w:rsidR="00394C6C">
        <w:rPr>
          <w:color w:val="000000" w:themeColor="text1"/>
          <w:sz w:val="22"/>
          <w:szCs w:val="22"/>
          <w:lang w:val="en-US"/>
        </w:rPr>
        <w:t>ECJ</w:t>
      </w:r>
      <w:r w:rsidR="006E1172" w:rsidRPr="00CA53A1">
        <w:rPr>
          <w:color w:val="000000" w:themeColor="text1"/>
          <w:sz w:val="22"/>
          <w:szCs w:val="22"/>
          <w:lang w:val="en-US"/>
        </w:rPr>
        <w:t xml:space="preserve"> </w:t>
      </w:r>
      <w:r w:rsidR="00766B26" w:rsidRPr="00CA53A1">
        <w:rPr>
          <w:color w:val="000000" w:themeColor="text1"/>
          <w:sz w:val="22"/>
          <w:szCs w:val="22"/>
          <w:lang w:val="en-US"/>
        </w:rPr>
        <w:t>underlined</w:t>
      </w:r>
      <w:r w:rsidR="006E1172" w:rsidRPr="00CA53A1">
        <w:rPr>
          <w:color w:val="000000" w:themeColor="text1"/>
          <w:sz w:val="22"/>
          <w:szCs w:val="22"/>
          <w:lang w:val="en-US"/>
        </w:rPr>
        <w:t xml:space="preserve"> that </w:t>
      </w:r>
      <w:r w:rsidR="00766B26" w:rsidRPr="00CA53A1">
        <w:rPr>
          <w:color w:val="000000" w:themeColor="text1"/>
          <w:sz w:val="22"/>
          <w:szCs w:val="22"/>
          <w:lang w:val="en-US"/>
        </w:rPr>
        <w:t>these</w:t>
      </w:r>
      <w:r w:rsidR="006E1172" w:rsidRPr="00CA53A1">
        <w:rPr>
          <w:color w:val="000000" w:themeColor="text1"/>
          <w:sz w:val="22"/>
          <w:szCs w:val="22"/>
          <w:lang w:val="en-US"/>
        </w:rPr>
        <w:t xml:space="preserve"> entities include consumer associations</w:t>
      </w:r>
      <w:r w:rsidR="00E4751F" w:rsidRPr="00CA53A1">
        <w:rPr>
          <w:color w:val="000000" w:themeColor="text1"/>
          <w:sz w:val="22"/>
          <w:szCs w:val="22"/>
          <w:lang w:val="en-US"/>
        </w:rPr>
        <w:t>.</w:t>
      </w:r>
      <w:r w:rsidR="00807499" w:rsidRPr="00CA53A1">
        <w:rPr>
          <w:rStyle w:val="Rimandonotaapidipagina"/>
          <w:color w:val="000000" w:themeColor="text1"/>
          <w:sz w:val="22"/>
          <w:szCs w:val="22"/>
          <w:lang w:val="en-US"/>
        </w:rPr>
        <w:footnoteReference w:id="79"/>
      </w:r>
      <w:r w:rsidR="006E1172" w:rsidRPr="00CA53A1">
        <w:rPr>
          <w:color w:val="000000" w:themeColor="text1"/>
          <w:sz w:val="22"/>
          <w:szCs w:val="22"/>
          <w:lang w:val="en-US"/>
        </w:rPr>
        <w:t xml:space="preserve"> For its part, the Directive gr</w:t>
      </w:r>
      <w:r w:rsidR="00766B26" w:rsidRPr="00CA53A1">
        <w:rPr>
          <w:color w:val="000000" w:themeColor="text1"/>
          <w:sz w:val="22"/>
          <w:szCs w:val="22"/>
          <w:lang w:val="en-US"/>
        </w:rPr>
        <w:t>ants standing to qualified entities that S</w:t>
      </w:r>
      <w:r w:rsidR="006E1172" w:rsidRPr="00CA53A1">
        <w:rPr>
          <w:color w:val="000000" w:themeColor="text1"/>
          <w:sz w:val="22"/>
          <w:szCs w:val="22"/>
          <w:lang w:val="en-US"/>
        </w:rPr>
        <w:t>tate</w:t>
      </w:r>
      <w:r>
        <w:rPr>
          <w:color w:val="000000" w:themeColor="text1"/>
          <w:sz w:val="22"/>
          <w:szCs w:val="22"/>
          <w:lang w:val="en-US"/>
        </w:rPr>
        <w:t>s ‘designate for that purpose’</w:t>
      </w:r>
      <w:r w:rsidR="00740E13">
        <w:rPr>
          <w:color w:val="000000" w:themeColor="text1"/>
          <w:sz w:val="22"/>
          <w:szCs w:val="22"/>
          <w:lang w:val="en-US"/>
        </w:rPr>
        <w:t xml:space="preserve"> (article 4, Directive (EU) 2020/1828</w:t>
      </w:r>
      <w:r w:rsidR="00CC26C0" w:rsidRPr="00CA53A1">
        <w:rPr>
          <w:color w:val="000000" w:themeColor="text1"/>
          <w:sz w:val="22"/>
          <w:szCs w:val="22"/>
          <w:lang w:val="en-US"/>
        </w:rPr>
        <w:t>)</w:t>
      </w:r>
      <w:r w:rsidR="00766B26" w:rsidRPr="00CA53A1">
        <w:rPr>
          <w:color w:val="000000" w:themeColor="text1"/>
          <w:sz w:val="22"/>
          <w:szCs w:val="22"/>
          <w:lang w:val="en-US"/>
        </w:rPr>
        <w:t xml:space="preserve">. </w:t>
      </w:r>
      <w:r w:rsidRPr="000A1EF0">
        <w:rPr>
          <w:color w:val="000000" w:themeColor="text1"/>
          <w:sz w:val="22"/>
          <w:szCs w:val="22"/>
          <w:lang w:val="en-US"/>
        </w:rPr>
        <w:t>The requirements that qualified entities must meet are set out in article 4</w:t>
      </w:r>
      <w:r w:rsidR="00416D62">
        <w:rPr>
          <w:color w:val="000000" w:themeColor="text1"/>
          <w:sz w:val="22"/>
          <w:szCs w:val="22"/>
          <w:lang w:val="en-US"/>
        </w:rPr>
        <w:t xml:space="preserve"> and are essentially aligned </w:t>
      </w:r>
      <w:r w:rsidRPr="000A1EF0">
        <w:rPr>
          <w:color w:val="000000" w:themeColor="text1"/>
          <w:sz w:val="22"/>
          <w:szCs w:val="22"/>
          <w:lang w:val="en-US"/>
        </w:rPr>
        <w:t>with those of article 80 GDPR</w:t>
      </w:r>
      <w:r w:rsidR="00E4751F" w:rsidRPr="00CA53A1">
        <w:rPr>
          <w:color w:val="000000" w:themeColor="text1"/>
          <w:sz w:val="22"/>
          <w:szCs w:val="22"/>
          <w:lang w:val="en-US"/>
        </w:rPr>
        <w:t>.</w:t>
      </w:r>
      <w:r w:rsidR="00807499" w:rsidRPr="00CA53A1">
        <w:rPr>
          <w:rStyle w:val="Rimandonotaapidipagina"/>
          <w:color w:val="000000" w:themeColor="text1"/>
          <w:sz w:val="22"/>
          <w:szCs w:val="22"/>
          <w:lang w:val="en-US"/>
        </w:rPr>
        <w:footnoteReference w:id="80"/>
      </w:r>
    </w:p>
    <w:p w14:paraId="56F2EEF9" w14:textId="4274D8B7" w:rsidR="000A1EF0" w:rsidRPr="000A1EF0" w:rsidRDefault="000A1EF0" w:rsidP="000A1EF0">
      <w:pPr>
        <w:spacing w:after="120"/>
        <w:ind w:firstLine="567"/>
        <w:jc w:val="both"/>
        <w:rPr>
          <w:color w:val="000000" w:themeColor="text1"/>
          <w:sz w:val="22"/>
          <w:szCs w:val="22"/>
          <w:lang w:val="en-US"/>
        </w:rPr>
      </w:pPr>
      <w:r w:rsidRPr="000A1EF0">
        <w:rPr>
          <w:color w:val="000000" w:themeColor="text1"/>
          <w:sz w:val="22"/>
          <w:szCs w:val="22"/>
          <w:lang w:val="en-US"/>
        </w:rPr>
        <w:t xml:space="preserve">Overall, representative actions are </w:t>
      </w:r>
      <w:r w:rsidR="008D22AC">
        <w:rPr>
          <w:color w:val="000000" w:themeColor="text1"/>
          <w:sz w:val="22"/>
          <w:szCs w:val="22"/>
          <w:lang w:val="en-US"/>
        </w:rPr>
        <w:t>in line</w:t>
      </w:r>
      <w:r w:rsidRPr="000A1EF0">
        <w:rPr>
          <w:color w:val="000000" w:themeColor="text1"/>
          <w:sz w:val="22"/>
          <w:szCs w:val="22"/>
          <w:lang w:val="en-US"/>
        </w:rPr>
        <w:t xml:space="preserve"> with the GDPR, even considering group data protection as a collective interest. Collective interests such as transparency and fairness in contractual relations fit </w:t>
      </w:r>
      <w:r>
        <w:rPr>
          <w:color w:val="000000" w:themeColor="text1"/>
          <w:sz w:val="22"/>
          <w:szCs w:val="22"/>
          <w:lang w:val="en-US"/>
        </w:rPr>
        <w:t xml:space="preserve">oftentimes </w:t>
      </w:r>
      <w:r w:rsidRPr="000A1EF0">
        <w:rPr>
          <w:color w:val="000000" w:themeColor="text1"/>
          <w:sz w:val="22"/>
          <w:szCs w:val="22"/>
          <w:lang w:val="en-US"/>
        </w:rPr>
        <w:t>with the data privacy of users</w:t>
      </w:r>
      <w:r w:rsidR="001605D5" w:rsidRPr="000A1EF0">
        <w:rPr>
          <w:color w:val="000000" w:themeColor="text1"/>
          <w:sz w:val="22"/>
          <w:szCs w:val="22"/>
          <w:lang w:val="en-US"/>
        </w:rPr>
        <w:t>.</w:t>
      </w:r>
      <w:r w:rsidR="00807499" w:rsidRPr="00CA53A1">
        <w:rPr>
          <w:rStyle w:val="Rimandonotaapidipagina"/>
          <w:color w:val="000000" w:themeColor="text1"/>
          <w:sz w:val="22"/>
          <w:szCs w:val="22"/>
          <w:lang w:val="en-US"/>
        </w:rPr>
        <w:footnoteReference w:id="81"/>
      </w:r>
      <w:r>
        <w:rPr>
          <w:color w:val="000000" w:themeColor="text1"/>
          <w:sz w:val="22"/>
          <w:szCs w:val="22"/>
          <w:lang w:val="en-US"/>
        </w:rPr>
        <w:t xml:space="preserve"> </w:t>
      </w:r>
      <w:r w:rsidRPr="000A1EF0">
        <w:rPr>
          <w:color w:val="000000" w:themeColor="text1"/>
          <w:sz w:val="22"/>
          <w:szCs w:val="22"/>
          <w:lang w:val="en-US"/>
        </w:rPr>
        <w:t>For example, collective redress measures could play a role in cases of unfair commercial clauses in terms of services, or unfair business practices, when providers fail to comply with informatory duties and violate the GDPR at the same time, thereby harming consumers.</w:t>
      </w:r>
    </w:p>
    <w:p w14:paraId="6E0B01DB" w14:textId="456718B2" w:rsidR="00E4751F" w:rsidRPr="00CA53A1" w:rsidRDefault="000A1EF0" w:rsidP="000A1EF0">
      <w:pPr>
        <w:spacing w:after="120"/>
        <w:ind w:firstLine="567"/>
        <w:jc w:val="both"/>
        <w:rPr>
          <w:color w:val="000000" w:themeColor="text1"/>
          <w:sz w:val="22"/>
          <w:szCs w:val="22"/>
          <w:lang w:val="en-US"/>
        </w:rPr>
      </w:pPr>
      <w:r w:rsidRPr="000A1EF0">
        <w:rPr>
          <w:color w:val="000000" w:themeColor="text1"/>
          <w:sz w:val="22"/>
          <w:szCs w:val="22"/>
          <w:lang w:val="en-US"/>
        </w:rPr>
        <w:t xml:space="preserve">Under this scenario, in future consumers would then have two possible options: namely, to act pursuant to EU representative actions or via national class </w:t>
      </w:r>
      <w:r w:rsidR="00740E13">
        <w:rPr>
          <w:color w:val="000000" w:themeColor="text1"/>
          <w:sz w:val="22"/>
          <w:szCs w:val="22"/>
          <w:lang w:val="en-US"/>
        </w:rPr>
        <w:t>actions</w:t>
      </w:r>
      <w:r w:rsidR="009D04CA" w:rsidRPr="00CA53A1">
        <w:rPr>
          <w:rStyle w:val="Rimandonotaapidipagina"/>
          <w:color w:val="000000" w:themeColor="text1"/>
          <w:sz w:val="22"/>
          <w:szCs w:val="22"/>
          <w:lang w:val="en-US"/>
        </w:rPr>
        <w:footnoteReference w:id="82"/>
      </w:r>
      <w:r w:rsidR="00740E13">
        <w:rPr>
          <w:color w:val="000000" w:themeColor="text1"/>
          <w:sz w:val="22"/>
          <w:szCs w:val="22"/>
          <w:lang w:val="en-US"/>
        </w:rPr>
        <w:t>, in accordance with article</w:t>
      </w:r>
      <w:r w:rsidRPr="000A1EF0">
        <w:rPr>
          <w:color w:val="000000" w:themeColor="text1"/>
          <w:sz w:val="22"/>
          <w:szCs w:val="22"/>
          <w:lang w:val="en-US"/>
        </w:rPr>
        <w:t xml:space="preserve"> 80 GDPR</w:t>
      </w:r>
      <w:r w:rsidR="00E4751F" w:rsidRPr="00CA53A1">
        <w:rPr>
          <w:color w:val="000000" w:themeColor="text1"/>
          <w:sz w:val="22"/>
          <w:szCs w:val="22"/>
          <w:lang w:val="en-US"/>
        </w:rPr>
        <w:t>.</w:t>
      </w:r>
    </w:p>
    <w:p w14:paraId="3E337C33" w14:textId="77777777" w:rsidR="00C75251" w:rsidRPr="00CA53A1" w:rsidRDefault="00C75251" w:rsidP="00294D03">
      <w:pPr>
        <w:ind w:firstLine="708"/>
        <w:jc w:val="both"/>
        <w:rPr>
          <w:b/>
          <w:color w:val="000000" w:themeColor="text1"/>
          <w:sz w:val="22"/>
          <w:szCs w:val="22"/>
          <w:lang w:val="en-US"/>
        </w:rPr>
      </w:pPr>
    </w:p>
    <w:p w14:paraId="29AE86A4" w14:textId="66670E35" w:rsidR="008B7E0A" w:rsidRPr="00CA53A1" w:rsidRDefault="00506988" w:rsidP="00294D03">
      <w:pPr>
        <w:jc w:val="both"/>
        <w:outlineLvl w:val="0"/>
        <w:rPr>
          <w:b/>
          <w:color w:val="000000" w:themeColor="text1"/>
          <w:sz w:val="22"/>
          <w:szCs w:val="22"/>
          <w:lang w:val="en-US"/>
        </w:rPr>
      </w:pPr>
      <w:r>
        <w:rPr>
          <w:b/>
          <w:color w:val="000000" w:themeColor="text1"/>
          <w:sz w:val="22"/>
          <w:szCs w:val="22"/>
          <w:lang w:val="en-US"/>
        </w:rPr>
        <w:t>VIII</w:t>
      </w:r>
      <w:r w:rsidR="00DF3FD0" w:rsidRPr="00CA53A1">
        <w:rPr>
          <w:b/>
          <w:color w:val="000000" w:themeColor="text1"/>
          <w:sz w:val="22"/>
          <w:szCs w:val="22"/>
          <w:lang w:val="en-US"/>
        </w:rPr>
        <w:t>.</w:t>
      </w:r>
      <w:r w:rsidR="005F1137" w:rsidRPr="00CA53A1">
        <w:rPr>
          <w:b/>
          <w:color w:val="000000" w:themeColor="text1"/>
          <w:sz w:val="22"/>
          <w:szCs w:val="22"/>
          <w:lang w:val="en-US"/>
        </w:rPr>
        <w:t xml:space="preserve"> </w:t>
      </w:r>
      <w:r>
        <w:rPr>
          <w:b/>
          <w:color w:val="000000" w:themeColor="text1"/>
          <w:sz w:val="22"/>
          <w:szCs w:val="22"/>
          <w:lang w:val="en-US"/>
        </w:rPr>
        <w:t xml:space="preserve">Chapter 7 </w:t>
      </w:r>
      <w:r w:rsidR="002F3920" w:rsidRPr="00CA53A1">
        <w:rPr>
          <w:b/>
          <w:color w:val="000000" w:themeColor="text1"/>
          <w:sz w:val="22"/>
          <w:szCs w:val="22"/>
          <w:lang w:val="en-US"/>
        </w:rPr>
        <w:t>Compensatory actions</w:t>
      </w:r>
    </w:p>
    <w:p w14:paraId="4C6DE800" w14:textId="77777777" w:rsidR="00151AAD" w:rsidRPr="00CA53A1" w:rsidRDefault="00151AAD" w:rsidP="00DA1B28">
      <w:pPr>
        <w:spacing w:after="120"/>
        <w:jc w:val="both"/>
        <w:rPr>
          <w:color w:val="000000" w:themeColor="text1"/>
          <w:sz w:val="22"/>
          <w:szCs w:val="22"/>
          <w:lang w:val="en-US"/>
        </w:rPr>
      </w:pPr>
    </w:p>
    <w:p w14:paraId="5B6F4177" w14:textId="14EC6882" w:rsidR="003A3344" w:rsidRPr="003A3344" w:rsidRDefault="001B2BBA" w:rsidP="003A3344">
      <w:pPr>
        <w:spacing w:after="120"/>
        <w:ind w:firstLine="567"/>
        <w:jc w:val="both"/>
        <w:rPr>
          <w:color w:val="000000" w:themeColor="text1"/>
          <w:sz w:val="22"/>
          <w:szCs w:val="22"/>
          <w:lang w:val="en-US"/>
        </w:rPr>
      </w:pPr>
      <w:r w:rsidRPr="001B2BBA">
        <w:rPr>
          <w:color w:val="000000" w:themeColor="text1"/>
          <w:sz w:val="22"/>
          <w:szCs w:val="22"/>
          <w:lang w:val="en-US"/>
        </w:rPr>
        <w:t xml:space="preserve">While the Directive explicitly allows for injunctive and compensatory actions, article 80 GDPR seems to make a distinction between them. The GDPR allows a qualified entity to ask for compensatory measures if it </w:t>
      </w:r>
      <w:r w:rsidR="00BC7F15">
        <w:rPr>
          <w:color w:val="000000" w:themeColor="text1"/>
          <w:sz w:val="22"/>
          <w:szCs w:val="22"/>
          <w:lang w:val="en-US"/>
        </w:rPr>
        <w:t>obtains</w:t>
      </w:r>
      <w:r w:rsidRPr="001B2BBA">
        <w:rPr>
          <w:color w:val="000000" w:themeColor="text1"/>
          <w:sz w:val="22"/>
          <w:szCs w:val="22"/>
          <w:lang w:val="en-US"/>
        </w:rPr>
        <w:t xml:space="preserve"> a mandate from the data subject (article 80 (1) and article 82 GDPR). However, when entities exercise data subjects’ rights without a mandate (article 80 (2)) the possibilit</w:t>
      </w:r>
      <w:r w:rsidR="00BC7F15">
        <w:rPr>
          <w:color w:val="000000" w:themeColor="text1"/>
          <w:sz w:val="22"/>
          <w:szCs w:val="22"/>
          <w:lang w:val="en-US"/>
        </w:rPr>
        <w:t>y of claiming damages is debatable</w:t>
      </w:r>
      <w:r w:rsidR="001570D8" w:rsidRPr="00CA53A1">
        <w:rPr>
          <w:color w:val="000000" w:themeColor="text1"/>
          <w:sz w:val="22"/>
          <w:szCs w:val="22"/>
          <w:lang w:val="en-US"/>
        </w:rPr>
        <w:t>.</w:t>
      </w:r>
      <w:r w:rsidR="00D14F7E" w:rsidRPr="00CA53A1">
        <w:rPr>
          <w:rStyle w:val="Rimandonotaapidipagina"/>
          <w:color w:val="000000" w:themeColor="text1"/>
          <w:sz w:val="22"/>
          <w:szCs w:val="22"/>
          <w:lang w:val="en-US"/>
        </w:rPr>
        <w:footnoteReference w:id="83"/>
      </w:r>
      <w:r w:rsidR="00FA5318" w:rsidRPr="00CA53A1">
        <w:rPr>
          <w:color w:val="000000" w:themeColor="text1"/>
          <w:sz w:val="22"/>
          <w:szCs w:val="22"/>
          <w:lang w:val="en-US"/>
        </w:rPr>
        <w:t xml:space="preserve"> </w:t>
      </w:r>
      <w:r w:rsidR="003A3344" w:rsidRPr="003A3344">
        <w:rPr>
          <w:color w:val="000000" w:themeColor="text1"/>
          <w:sz w:val="22"/>
          <w:szCs w:val="22"/>
          <w:lang w:val="en-US"/>
        </w:rPr>
        <w:t>Indeed, article 80 (2) d</w:t>
      </w:r>
      <w:r w:rsidR="00740E13">
        <w:rPr>
          <w:color w:val="000000" w:themeColor="text1"/>
          <w:sz w:val="22"/>
          <w:szCs w:val="22"/>
          <w:lang w:val="en-US"/>
        </w:rPr>
        <w:t>oes not explicitly refer to article</w:t>
      </w:r>
      <w:r w:rsidR="003A3344" w:rsidRPr="003A3344">
        <w:rPr>
          <w:color w:val="000000" w:themeColor="text1"/>
          <w:sz w:val="22"/>
          <w:szCs w:val="22"/>
          <w:lang w:val="en-US"/>
        </w:rPr>
        <w:t xml:space="preserve"> 82. Nor does the recent judgment </w:t>
      </w:r>
      <w:r w:rsidR="003A3344" w:rsidRPr="007B35B4">
        <w:rPr>
          <w:i/>
          <w:color w:val="000000" w:themeColor="text1"/>
          <w:sz w:val="22"/>
          <w:szCs w:val="22"/>
          <w:lang w:val="en-US"/>
        </w:rPr>
        <w:t>Meta Platforms</w:t>
      </w:r>
      <w:r w:rsidR="003A3344" w:rsidRPr="003A3344">
        <w:rPr>
          <w:color w:val="000000" w:themeColor="text1"/>
          <w:sz w:val="22"/>
          <w:szCs w:val="22"/>
          <w:lang w:val="en-US"/>
        </w:rPr>
        <w:t xml:space="preserve"> cover compensatory claims, since the</w:t>
      </w:r>
      <w:r w:rsidR="00DD013D">
        <w:rPr>
          <w:color w:val="000000" w:themeColor="text1"/>
          <w:sz w:val="22"/>
          <w:szCs w:val="22"/>
          <w:lang w:val="en-US"/>
        </w:rPr>
        <w:t xml:space="preserve"> ECJ</w:t>
      </w:r>
      <w:r w:rsidR="003A3344" w:rsidRPr="003A3344">
        <w:rPr>
          <w:color w:val="000000" w:themeColor="text1"/>
          <w:sz w:val="22"/>
          <w:szCs w:val="22"/>
          <w:lang w:val="en-US"/>
        </w:rPr>
        <w:t xml:space="preserve"> pronounced only on injunctive measures.</w:t>
      </w:r>
    </w:p>
    <w:p w14:paraId="562F4A58" w14:textId="70D92C78" w:rsidR="003A3344" w:rsidRPr="003A3344" w:rsidRDefault="003A3344" w:rsidP="003A3344">
      <w:pPr>
        <w:spacing w:after="120"/>
        <w:ind w:firstLine="567"/>
        <w:jc w:val="both"/>
        <w:rPr>
          <w:color w:val="000000" w:themeColor="text1"/>
          <w:sz w:val="22"/>
          <w:szCs w:val="22"/>
          <w:lang w:val="en-US"/>
        </w:rPr>
      </w:pPr>
      <w:r w:rsidRPr="003A3344">
        <w:rPr>
          <w:color w:val="000000" w:themeColor="text1"/>
          <w:sz w:val="22"/>
          <w:szCs w:val="22"/>
          <w:lang w:val="en-US"/>
        </w:rPr>
        <w:t xml:space="preserve">Nevertheless, the wording of article 80 (2) does not exclude compensatory actions, and the case </w:t>
      </w:r>
      <w:r w:rsidRPr="007B35B4">
        <w:rPr>
          <w:i/>
          <w:color w:val="000000" w:themeColor="text1"/>
          <w:sz w:val="22"/>
          <w:szCs w:val="22"/>
          <w:lang w:val="en-US"/>
        </w:rPr>
        <w:t>Meta Platforms</w:t>
      </w:r>
      <w:r w:rsidRPr="003A3344">
        <w:rPr>
          <w:color w:val="000000" w:themeColor="text1"/>
          <w:sz w:val="22"/>
          <w:szCs w:val="22"/>
          <w:lang w:val="en-US"/>
        </w:rPr>
        <w:t xml:space="preserve"> may </w:t>
      </w:r>
      <w:r w:rsidR="008D22AC">
        <w:rPr>
          <w:color w:val="000000" w:themeColor="text1"/>
          <w:sz w:val="22"/>
          <w:szCs w:val="22"/>
          <w:lang w:val="en-US"/>
        </w:rPr>
        <w:t>be a point in favor of</w:t>
      </w:r>
      <w:r w:rsidRPr="003A3344">
        <w:rPr>
          <w:color w:val="000000" w:themeColor="text1"/>
          <w:sz w:val="22"/>
          <w:szCs w:val="22"/>
          <w:lang w:val="en-US"/>
        </w:rPr>
        <w:t xml:space="preserve"> allowing an entity to ask for redress even without a mandate. </w:t>
      </w:r>
    </w:p>
    <w:p w14:paraId="3A98C729" w14:textId="3F994983" w:rsidR="003C5858" w:rsidRPr="00CA53A1" w:rsidRDefault="00C30798" w:rsidP="003A3344">
      <w:pPr>
        <w:spacing w:after="120"/>
        <w:ind w:firstLine="567"/>
        <w:jc w:val="both"/>
        <w:rPr>
          <w:color w:val="000000" w:themeColor="text1"/>
          <w:sz w:val="22"/>
          <w:szCs w:val="22"/>
          <w:lang w:val="en-US"/>
        </w:rPr>
      </w:pPr>
      <w:r w:rsidRPr="00C30798">
        <w:rPr>
          <w:color w:val="000000" w:themeColor="text1"/>
          <w:sz w:val="22"/>
          <w:szCs w:val="22"/>
          <w:lang w:val="en-US"/>
        </w:rPr>
        <w:t>Although article 80 (2) GDPR does not mention collective compensatory measures, the latter may fall under the broad notion o</w:t>
      </w:r>
      <w:r>
        <w:rPr>
          <w:color w:val="000000" w:themeColor="text1"/>
          <w:sz w:val="22"/>
          <w:szCs w:val="22"/>
          <w:lang w:val="en-US"/>
        </w:rPr>
        <w:t xml:space="preserve">f effective judicial remedy. </w:t>
      </w:r>
      <w:r w:rsidRPr="00C30798">
        <w:rPr>
          <w:color w:val="000000" w:themeColor="text1"/>
          <w:sz w:val="22"/>
          <w:szCs w:val="22"/>
          <w:lang w:val="en-US"/>
        </w:rPr>
        <w:t xml:space="preserve">The GDPR is a Regulation, thus providing scope for full harmonization among Member States. </w:t>
      </w:r>
      <w:r w:rsidR="00B27997" w:rsidRPr="00CA53A1">
        <w:rPr>
          <w:color w:val="000000" w:themeColor="text1"/>
          <w:sz w:val="22"/>
          <w:szCs w:val="22"/>
          <w:lang w:val="en-US"/>
        </w:rPr>
        <w:t>However,</w:t>
      </w:r>
      <w:r w:rsidR="00192EAF" w:rsidRPr="00CA53A1">
        <w:rPr>
          <w:color w:val="000000" w:themeColor="text1"/>
          <w:sz w:val="22"/>
          <w:szCs w:val="22"/>
          <w:lang w:val="en-US"/>
        </w:rPr>
        <w:t xml:space="preserve"> in </w:t>
      </w:r>
      <w:r w:rsidR="00BF7FD1" w:rsidRPr="00CA53A1">
        <w:rPr>
          <w:i/>
          <w:color w:val="000000" w:themeColor="text1"/>
          <w:sz w:val="22"/>
          <w:szCs w:val="22"/>
          <w:lang w:val="en-US"/>
        </w:rPr>
        <w:t>Meta P</w:t>
      </w:r>
      <w:r w:rsidR="00192EAF" w:rsidRPr="00CA53A1">
        <w:rPr>
          <w:i/>
          <w:color w:val="000000" w:themeColor="text1"/>
          <w:sz w:val="22"/>
          <w:szCs w:val="22"/>
          <w:lang w:val="en-US"/>
        </w:rPr>
        <w:t>latform</w:t>
      </w:r>
      <w:r w:rsidR="00BF7FD1" w:rsidRPr="00CA53A1">
        <w:rPr>
          <w:i/>
          <w:color w:val="000000" w:themeColor="text1"/>
          <w:sz w:val="22"/>
          <w:szCs w:val="22"/>
          <w:lang w:val="en-US"/>
        </w:rPr>
        <w:t>s</w:t>
      </w:r>
      <w:r w:rsidR="00B27997" w:rsidRPr="00CA53A1">
        <w:rPr>
          <w:color w:val="000000" w:themeColor="text1"/>
          <w:sz w:val="22"/>
          <w:szCs w:val="22"/>
          <w:lang w:val="en-US"/>
        </w:rPr>
        <w:t xml:space="preserve"> the </w:t>
      </w:r>
      <w:r w:rsidR="00394C6C">
        <w:rPr>
          <w:color w:val="000000" w:themeColor="text1"/>
          <w:sz w:val="22"/>
          <w:szCs w:val="22"/>
          <w:lang w:val="en-US"/>
        </w:rPr>
        <w:t>ECJ</w:t>
      </w:r>
      <w:r w:rsidR="00B27997" w:rsidRPr="00CA53A1">
        <w:rPr>
          <w:color w:val="000000" w:themeColor="text1"/>
          <w:sz w:val="22"/>
          <w:szCs w:val="22"/>
          <w:lang w:val="en-US"/>
        </w:rPr>
        <w:t xml:space="preserve"> qualified art</w:t>
      </w:r>
      <w:r w:rsidR="003A2707" w:rsidRPr="00CA53A1">
        <w:rPr>
          <w:color w:val="000000" w:themeColor="text1"/>
          <w:sz w:val="22"/>
          <w:szCs w:val="22"/>
          <w:lang w:val="en-US"/>
        </w:rPr>
        <w:t>icle</w:t>
      </w:r>
      <w:r>
        <w:rPr>
          <w:color w:val="000000" w:themeColor="text1"/>
          <w:sz w:val="22"/>
          <w:szCs w:val="22"/>
          <w:lang w:val="en-US"/>
        </w:rPr>
        <w:t xml:space="preserve"> 80 (2) as an ‘</w:t>
      </w:r>
      <w:r w:rsidR="00041843" w:rsidRPr="00CA53A1">
        <w:rPr>
          <w:color w:val="000000" w:themeColor="text1"/>
          <w:sz w:val="22"/>
          <w:szCs w:val="22"/>
          <w:lang w:val="en-US"/>
        </w:rPr>
        <w:t>open clause</w:t>
      </w:r>
      <w:r>
        <w:rPr>
          <w:color w:val="000000" w:themeColor="text1"/>
          <w:sz w:val="22"/>
          <w:szCs w:val="22"/>
          <w:lang w:val="en-US"/>
        </w:rPr>
        <w:t>’</w:t>
      </w:r>
      <w:r w:rsidR="002F00C1" w:rsidRPr="00CA53A1">
        <w:rPr>
          <w:rStyle w:val="Rimandonotaapidipagina"/>
          <w:color w:val="000000" w:themeColor="text1"/>
          <w:sz w:val="22"/>
          <w:szCs w:val="22"/>
          <w:lang w:val="en-US"/>
        </w:rPr>
        <w:footnoteReference w:id="84"/>
      </w:r>
      <w:r w:rsidR="00041843" w:rsidRPr="00CA53A1">
        <w:rPr>
          <w:color w:val="000000" w:themeColor="text1"/>
          <w:sz w:val="22"/>
          <w:szCs w:val="22"/>
          <w:lang w:val="en-US"/>
        </w:rPr>
        <w:t xml:space="preserve">. </w:t>
      </w:r>
      <w:r w:rsidR="00BC7F15">
        <w:rPr>
          <w:color w:val="000000" w:themeColor="text1"/>
          <w:sz w:val="22"/>
          <w:szCs w:val="22"/>
          <w:lang w:val="en-US"/>
        </w:rPr>
        <w:t>It</w:t>
      </w:r>
      <w:r w:rsidR="00B80EB5" w:rsidRPr="00CA53A1">
        <w:rPr>
          <w:color w:val="000000" w:themeColor="text1"/>
          <w:sz w:val="22"/>
          <w:szCs w:val="22"/>
          <w:lang w:val="en-US"/>
        </w:rPr>
        <w:t xml:space="preserve"> has </w:t>
      </w:r>
      <w:r w:rsidR="00BC7F15">
        <w:rPr>
          <w:color w:val="000000" w:themeColor="text1"/>
          <w:sz w:val="22"/>
          <w:szCs w:val="22"/>
          <w:lang w:val="en-US"/>
        </w:rPr>
        <w:t xml:space="preserve">therefore </w:t>
      </w:r>
      <w:r w:rsidR="00B80EB5" w:rsidRPr="00CA53A1">
        <w:rPr>
          <w:color w:val="000000" w:themeColor="text1"/>
          <w:sz w:val="22"/>
          <w:szCs w:val="22"/>
          <w:lang w:val="en-US"/>
        </w:rPr>
        <w:t>left</w:t>
      </w:r>
      <w:r w:rsidR="00192EAF" w:rsidRPr="00CA53A1">
        <w:rPr>
          <w:color w:val="000000" w:themeColor="text1"/>
          <w:sz w:val="22"/>
          <w:szCs w:val="22"/>
          <w:lang w:val="en-US"/>
        </w:rPr>
        <w:t xml:space="preserve"> </w:t>
      </w:r>
      <w:r w:rsidR="006305E3" w:rsidRPr="00CA53A1">
        <w:rPr>
          <w:color w:val="000000" w:themeColor="text1"/>
          <w:sz w:val="22"/>
          <w:szCs w:val="22"/>
          <w:lang w:val="en-US"/>
        </w:rPr>
        <w:t>room for</w:t>
      </w:r>
      <w:r w:rsidR="00192EAF" w:rsidRPr="00CA53A1">
        <w:rPr>
          <w:color w:val="000000" w:themeColor="text1"/>
          <w:sz w:val="22"/>
          <w:szCs w:val="22"/>
          <w:lang w:val="en-US"/>
        </w:rPr>
        <w:t xml:space="preserve"> </w:t>
      </w:r>
      <w:r w:rsidR="003A2707" w:rsidRPr="00CA53A1">
        <w:rPr>
          <w:color w:val="000000" w:themeColor="text1"/>
          <w:sz w:val="22"/>
          <w:szCs w:val="22"/>
          <w:lang w:val="en-US"/>
        </w:rPr>
        <w:t xml:space="preserve">national laws to implement article </w:t>
      </w:r>
      <w:r w:rsidR="00192EAF" w:rsidRPr="00CA53A1">
        <w:rPr>
          <w:color w:val="000000" w:themeColor="text1"/>
          <w:sz w:val="22"/>
          <w:szCs w:val="22"/>
          <w:lang w:val="en-US"/>
        </w:rPr>
        <w:t>80 (2)</w:t>
      </w:r>
      <w:r w:rsidR="00B27997" w:rsidRPr="00CA53A1">
        <w:rPr>
          <w:color w:val="000000" w:themeColor="text1"/>
          <w:sz w:val="22"/>
          <w:szCs w:val="22"/>
          <w:lang w:val="en-US"/>
        </w:rPr>
        <w:t xml:space="preserve"> in a manner that best guarantees the rights laid down in the Regulation. </w:t>
      </w:r>
    </w:p>
    <w:p w14:paraId="352EFB8C" w14:textId="567C3A6E" w:rsidR="00C30798" w:rsidRPr="00C30798" w:rsidRDefault="00C30798" w:rsidP="00C30798">
      <w:pPr>
        <w:spacing w:after="120"/>
        <w:ind w:firstLine="567"/>
        <w:jc w:val="both"/>
        <w:rPr>
          <w:color w:val="000000" w:themeColor="text1"/>
          <w:sz w:val="22"/>
          <w:szCs w:val="22"/>
          <w:lang w:val="en-US"/>
        </w:rPr>
      </w:pPr>
      <w:r w:rsidRPr="00C30798">
        <w:rPr>
          <w:color w:val="000000" w:themeColor="text1"/>
          <w:sz w:val="22"/>
          <w:szCs w:val="22"/>
          <w:lang w:val="en-US"/>
        </w:rPr>
        <w:t xml:space="preserve">The </w:t>
      </w:r>
      <w:r>
        <w:rPr>
          <w:color w:val="000000" w:themeColor="text1"/>
          <w:sz w:val="22"/>
          <w:szCs w:val="22"/>
          <w:lang w:val="en-US"/>
        </w:rPr>
        <w:t>ECJ</w:t>
      </w:r>
      <w:r w:rsidR="00BC7F15">
        <w:rPr>
          <w:color w:val="000000" w:themeColor="text1"/>
          <w:sz w:val="22"/>
          <w:szCs w:val="22"/>
          <w:lang w:val="en-US"/>
        </w:rPr>
        <w:t xml:space="preserve"> referred to</w:t>
      </w:r>
      <w:r w:rsidRPr="00C30798">
        <w:rPr>
          <w:color w:val="000000" w:themeColor="text1"/>
          <w:sz w:val="22"/>
          <w:szCs w:val="22"/>
          <w:lang w:val="en-US"/>
        </w:rPr>
        <w:t xml:space="preserve"> effective protection, the need to secure proper redress, an</w:t>
      </w:r>
      <w:r>
        <w:rPr>
          <w:color w:val="000000" w:themeColor="text1"/>
          <w:sz w:val="22"/>
          <w:szCs w:val="22"/>
          <w:lang w:val="en-US"/>
        </w:rPr>
        <w:t>d consumers’ access to justice.</w:t>
      </w:r>
      <w:r w:rsidR="00B27997" w:rsidRPr="00CA53A1">
        <w:rPr>
          <w:color w:val="000000" w:themeColor="text1"/>
          <w:sz w:val="22"/>
          <w:szCs w:val="22"/>
          <w:lang w:val="en-US"/>
        </w:rPr>
        <w:t xml:space="preserve"> These goals may be achieved more promptly </w:t>
      </w:r>
      <w:r w:rsidR="006305E3" w:rsidRPr="00CA53A1">
        <w:rPr>
          <w:color w:val="000000" w:themeColor="text1"/>
          <w:sz w:val="22"/>
          <w:szCs w:val="22"/>
          <w:lang w:val="en-US"/>
        </w:rPr>
        <w:t xml:space="preserve">by </w:t>
      </w:r>
      <w:r w:rsidR="00B27997" w:rsidRPr="00CA53A1">
        <w:rPr>
          <w:color w:val="000000" w:themeColor="text1"/>
          <w:sz w:val="22"/>
          <w:szCs w:val="22"/>
          <w:lang w:val="en-US"/>
        </w:rPr>
        <w:t>strengthening collective redress measures</w:t>
      </w:r>
      <w:r w:rsidR="008D22AC">
        <w:rPr>
          <w:color w:val="000000" w:themeColor="text1"/>
          <w:sz w:val="22"/>
          <w:szCs w:val="22"/>
          <w:lang w:val="en-US"/>
        </w:rPr>
        <w:t>.</w:t>
      </w:r>
      <w:r w:rsidR="00037769" w:rsidRPr="00CA53A1">
        <w:rPr>
          <w:rStyle w:val="Rimandonotaapidipagina"/>
          <w:color w:val="000000" w:themeColor="text1"/>
          <w:sz w:val="22"/>
          <w:szCs w:val="22"/>
          <w:lang w:val="en-US"/>
        </w:rPr>
        <w:footnoteReference w:id="85"/>
      </w:r>
      <w:r w:rsidR="008D22AC">
        <w:rPr>
          <w:color w:val="000000" w:themeColor="text1"/>
          <w:sz w:val="22"/>
          <w:szCs w:val="22"/>
          <w:lang w:val="en-US"/>
        </w:rPr>
        <w:t xml:space="preserve"> This could be pursued by, for example, expanding </w:t>
      </w:r>
      <w:r w:rsidR="00192EAF" w:rsidRPr="00CA53A1">
        <w:rPr>
          <w:color w:val="000000" w:themeColor="text1"/>
          <w:sz w:val="22"/>
          <w:szCs w:val="22"/>
          <w:lang w:val="en-US"/>
        </w:rPr>
        <w:t xml:space="preserve">the number of entities which </w:t>
      </w:r>
      <w:r w:rsidR="00B80EB5" w:rsidRPr="00CA53A1">
        <w:rPr>
          <w:color w:val="000000" w:themeColor="text1"/>
          <w:sz w:val="22"/>
          <w:szCs w:val="22"/>
          <w:lang w:val="en-US"/>
        </w:rPr>
        <w:t xml:space="preserve">can </w:t>
      </w:r>
      <w:r w:rsidR="00192EAF" w:rsidRPr="00CA53A1">
        <w:rPr>
          <w:color w:val="000000" w:themeColor="text1"/>
          <w:sz w:val="22"/>
          <w:szCs w:val="22"/>
          <w:lang w:val="en-US"/>
        </w:rPr>
        <w:t>sue a data controller</w:t>
      </w:r>
      <w:r w:rsidR="001570D8" w:rsidRPr="00CA53A1">
        <w:rPr>
          <w:color w:val="000000" w:themeColor="text1"/>
          <w:sz w:val="22"/>
          <w:szCs w:val="22"/>
          <w:lang w:val="en-US"/>
        </w:rPr>
        <w:t>,</w:t>
      </w:r>
      <w:r w:rsidR="00192EAF" w:rsidRPr="00CA53A1">
        <w:rPr>
          <w:color w:val="000000" w:themeColor="text1"/>
          <w:sz w:val="22"/>
          <w:szCs w:val="22"/>
          <w:lang w:val="en-US"/>
        </w:rPr>
        <w:t xml:space="preserve"> </w:t>
      </w:r>
      <w:r w:rsidR="00B80EB5" w:rsidRPr="00CA53A1">
        <w:rPr>
          <w:color w:val="000000" w:themeColor="text1"/>
          <w:sz w:val="22"/>
          <w:szCs w:val="22"/>
          <w:lang w:val="en-US"/>
        </w:rPr>
        <w:t>including those who do not have</w:t>
      </w:r>
      <w:r w:rsidR="007614E8" w:rsidRPr="00CA53A1">
        <w:rPr>
          <w:color w:val="000000" w:themeColor="text1"/>
          <w:sz w:val="22"/>
          <w:szCs w:val="22"/>
          <w:lang w:val="en-US"/>
        </w:rPr>
        <w:t xml:space="preserve"> </w:t>
      </w:r>
      <w:r w:rsidR="00551D30" w:rsidRPr="00CA53A1">
        <w:rPr>
          <w:color w:val="000000" w:themeColor="text1"/>
          <w:sz w:val="22"/>
          <w:szCs w:val="22"/>
          <w:lang w:val="en-US"/>
        </w:rPr>
        <w:t>a</w:t>
      </w:r>
      <w:r w:rsidR="007614E8" w:rsidRPr="00CA53A1">
        <w:rPr>
          <w:color w:val="000000" w:themeColor="text1"/>
          <w:sz w:val="22"/>
          <w:szCs w:val="22"/>
          <w:lang w:val="en-US"/>
        </w:rPr>
        <w:t xml:space="preserve"> </w:t>
      </w:r>
      <w:r w:rsidR="00192EAF" w:rsidRPr="00CA53A1">
        <w:rPr>
          <w:color w:val="000000" w:themeColor="text1"/>
          <w:sz w:val="22"/>
          <w:szCs w:val="22"/>
          <w:lang w:val="en-US"/>
        </w:rPr>
        <w:t>mandate</w:t>
      </w:r>
      <w:r w:rsidR="008D22AC">
        <w:rPr>
          <w:color w:val="000000" w:themeColor="text1"/>
          <w:sz w:val="22"/>
          <w:szCs w:val="22"/>
          <w:lang w:val="en-US"/>
        </w:rPr>
        <w:t>.</w:t>
      </w:r>
      <w:r w:rsidR="008D22AC" w:rsidRPr="00CA53A1">
        <w:rPr>
          <w:rStyle w:val="Rimandonotaapidipagina"/>
          <w:color w:val="000000" w:themeColor="text1"/>
          <w:sz w:val="22"/>
          <w:szCs w:val="22"/>
          <w:lang w:val="en-US"/>
        </w:rPr>
        <w:footnoteReference w:id="86"/>
      </w:r>
      <w:r w:rsidR="008D22AC">
        <w:rPr>
          <w:color w:val="000000" w:themeColor="text1"/>
          <w:sz w:val="22"/>
          <w:szCs w:val="22"/>
          <w:lang w:val="en-US"/>
        </w:rPr>
        <w:t xml:space="preserve"> </w:t>
      </w:r>
      <w:r w:rsidRPr="00C30798">
        <w:rPr>
          <w:color w:val="000000" w:themeColor="text1"/>
          <w:sz w:val="22"/>
          <w:szCs w:val="22"/>
          <w:lang w:val="en-US"/>
        </w:rPr>
        <w:t xml:space="preserve">Collective redress can, in fact, aggregate small claims, satisfy individual rights and deter companies from engaging in unfair practices. Were a legal system to legitimize collective redress even when the data subjects have not conferred a mandate on the representative entity, the system would be </w:t>
      </w:r>
      <w:r w:rsidR="008D22AC">
        <w:rPr>
          <w:color w:val="000000" w:themeColor="text1"/>
          <w:sz w:val="22"/>
          <w:szCs w:val="22"/>
          <w:lang w:val="en-US"/>
        </w:rPr>
        <w:t>likely to uphold</w:t>
      </w:r>
      <w:r w:rsidRPr="00C30798">
        <w:rPr>
          <w:color w:val="000000" w:themeColor="text1"/>
          <w:sz w:val="22"/>
          <w:szCs w:val="22"/>
          <w:lang w:val="en-US"/>
        </w:rPr>
        <w:t xml:space="preserve"> the effectiveness and supremacy of EU law.</w:t>
      </w:r>
    </w:p>
    <w:p w14:paraId="22C58705" w14:textId="00824976" w:rsidR="00970745" w:rsidRDefault="00C30798" w:rsidP="005C1106">
      <w:pPr>
        <w:spacing w:after="120"/>
        <w:ind w:firstLine="567"/>
        <w:jc w:val="both"/>
        <w:rPr>
          <w:color w:val="000000" w:themeColor="text1"/>
          <w:sz w:val="22"/>
          <w:szCs w:val="22"/>
          <w:lang w:val="en-US"/>
        </w:rPr>
      </w:pPr>
      <w:r w:rsidRPr="00C30798">
        <w:rPr>
          <w:color w:val="000000" w:themeColor="text1"/>
          <w:sz w:val="22"/>
          <w:szCs w:val="22"/>
          <w:lang w:val="en-US"/>
        </w:rPr>
        <w:t>Furthermore, if Member States already allow collective compensatory mechanisms under their laws, these mechanisms could potentially be used by a legal entity having direct standing to undertake a coll</w:t>
      </w:r>
      <w:r w:rsidR="00740E13">
        <w:rPr>
          <w:color w:val="000000" w:themeColor="text1"/>
          <w:sz w:val="22"/>
          <w:szCs w:val="22"/>
          <w:lang w:val="en-US"/>
        </w:rPr>
        <w:t>ective action, in line with article</w:t>
      </w:r>
      <w:r w:rsidRPr="00C30798">
        <w:rPr>
          <w:color w:val="000000" w:themeColor="text1"/>
          <w:sz w:val="22"/>
          <w:szCs w:val="22"/>
          <w:lang w:val="en-US"/>
        </w:rPr>
        <w:t xml:space="preserve"> 80 (2) GDPR</w:t>
      </w:r>
      <w:r w:rsidR="008A086B" w:rsidRPr="00CA53A1">
        <w:rPr>
          <w:color w:val="000000" w:themeColor="text1"/>
          <w:sz w:val="22"/>
          <w:szCs w:val="22"/>
          <w:lang w:val="en-US"/>
        </w:rPr>
        <w:t>.</w:t>
      </w:r>
      <w:r w:rsidR="008A086B" w:rsidRPr="00CA53A1">
        <w:rPr>
          <w:rStyle w:val="Rimandonotaapidipagina"/>
          <w:color w:val="000000" w:themeColor="text1"/>
          <w:sz w:val="22"/>
          <w:szCs w:val="22"/>
          <w:lang w:val="en-US"/>
        </w:rPr>
        <w:footnoteReference w:id="87"/>
      </w:r>
      <w:r w:rsidR="008A086B" w:rsidRPr="00CA53A1">
        <w:rPr>
          <w:color w:val="000000" w:themeColor="text1"/>
          <w:sz w:val="22"/>
          <w:szCs w:val="22"/>
          <w:lang w:val="en-US"/>
        </w:rPr>
        <w:t xml:space="preserve"> </w:t>
      </w:r>
      <w:r w:rsidRPr="00C30798">
        <w:rPr>
          <w:color w:val="000000" w:themeColor="text1"/>
          <w:sz w:val="22"/>
          <w:szCs w:val="22"/>
          <w:lang w:val="en-US"/>
        </w:rPr>
        <w:t xml:space="preserve">Although </w:t>
      </w:r>
      <w:r w:rsidR="00DD013D">
        <w:rPr>
          <w:color w:val="000000" w:themeColor="text1"/>
          <w:sz w:val="22"/>
          <w:szCs w:val="22"/>
          <w:lang w:val="en-US"/>
        </w:rPr>
        <w:t>the ECJ</w:t>
      </w:r>
      <w:r w:rsidRPr="00C30798">
        <w:rPr>
          <w:color w:val="000000" w:themeColor="text1"/>
          <w:sz w:val="22"/>
          <w:szCs w:val="22"/>
          <w:lang w:val="en-US"/>
        </w:rPr>
        <w:t xml:space="preserve"> referred only to injunctive claims in its ruling, there is no reason to maintain that the judgment does not also apply to redress measures</w:t>
      </w:r>
      <w:r>
        <w:rPr>
          <w:color w:val="000000" w:themeColor="text1"/>
          <w:sz w:val="22"/>
          <w:szCs w:val="22"/>
          <w:lang w:val="en-US"/>
        </w:rPr>
        <w:t xml:space="preserve"> in this respect</w:t>
      </w:r>
      <w:r w:rsidRPr="00C30798">
        <w:rPr>
          <w:color w:val="000000" w:themeColor="text1"/>
          <w:sz w:val="22"/>
          <w:szCs w:val="22"/>
          <w:lang w:val="en-US"/>
        </w:rPr>
        <w:t>. Ultimately, in representative actions, the Directive allows a legitimate entity to seek redress with or without a mandate from consumers, leaving States free to choose opt-in or opt-out mechanisms (</w:t>
      </w:r>
      <w:r w:rsidR="00C44431">
        <w:rPr>
          <w:color w:val="000000" w:themeColor="text1"/>
          <w:sz w:val="22"/>
          <w:szCs w:val="22"/>
          <w:lang w:val="en-US"/>
        </w:rPr>
        <w:t>article 8 (3), Directive (EU) 2020/1828</w:t>
      </w:r>
      <w:r w:rsidRPr="00C30798">
        <w:rPr>
          <w:color w:val="000000" w:themeColor="text1"/>
          <w:sz w:val="22"/>
          <w:szCs w:val="22"/>
          <w:lang w:val="en-US"/>
        </w:rPr>
        <w:t>).</w:t>
      </w:r>
    </w:p>
    <w:p w14:paraId="0ED99573" w14:textId="77777777" w:rsidR="00970745" w:rsidRPr="00CA53A1" w:rsidRDefault="00970745" w:rsidP="00C30798">
      <w:pPr>
        <w:spacing w:after="120"/>
        <w:jc w:val="both"/>
        <w:rPr>
          <w:color w:val="000000" w:themeColor="text1"/>
          <w:sz w:val="22"/>
          <w:szCs w:val="22"/>
          <w:lang w:val="en-US"/>
        </w:rPr>
      </w:pPr>
    </w:p>
    <w:p w14:paraId="0AA20032" w14:textId="6E596E32" w:rsidR="00FC084E" w:rsidRPr="00CA53A1" w:rsidRDefault="00506988" w:rsidP="00294D03">
      <w:pPr>
        <w:jc w:val="both"/>
        <w:outlineLvl w:val="0"/>
        <w:rPr>
          <w:b/>
          <w:color w:val="FF0000"/>
          <w:sz w:val="22"/>
          <w:szCs w:val="22"/>
          <w:lang w:val="en-US"/>
        </w:rPr>
      </w:pPr>
      <w:r>
        <w:rPr>
          <w:b/>
          <w:sz w:val="22"/>
          <w:szCs w:val="22"/>
          <w:lang w:val="en-GB"/>
        </w:rPr>
        <w:t>IX</w:t>
      </w:r>
      <w:r w:rsidR="000C0ADF" w:rsidRPr="00CA53A1">
        <w:rPr>
          <w:b/>
          <w:sz w:val="22"/>
          <w:szCs w:val="22"/>
          <w:lang w:val="en-GB"/>
        </w:rPr>
        <w:t xml:space="preserve">. </w:t>
      </w:r>
      <w:r w:rsidR="000C0ADF">
        <w:rPr>
          <w:b/>
          <w:sz w:val="22"/>
          <w:szCs w:val="22"/>
          <w:lang w:val="en-GB"/>
        </w:rPr>
        <w:t xml:space="preserve">Chapter </w:t>
      </w:r>
      <w:r>
        <w:rPr>
          <w:b/>
          <w:sz w:val="22"/>
          <w:szCs w:val="22"/>
          <w:lang w:val="en-GB"/>
        </w:rPr>
        <w:t>8</w:t>
      </w:r>
      <w:r w:rsidR="000C0ADF">
        <w:rPr>
          <w:b/>
          <w:sz w:val="22"/>
          <w:szCs w:val="22"/>
          <w:lang w:val="en-GB"/>
        </w:rPr>
        <w:t xml:space="preserve"> </w:t>
      </w:r>
      <w:r w:rsidR="00E72E6E" w:rsidRPr="00CA53A1">
        <w:rPr>
          <w:b/>
          <w:color w:val="000000" w:themeColor="text1"/>
          <w:sz w:val="22"/>
          <w:szCs w:val="22"/>
          <w:lang w:val="en-US"/>
        </w:rPr>
        <w:t>Private enforcement and data protection</w:t>
      </w:r>
      <w:r w:rsidR="00FC084E" w:rsidRPr="00CA53A1">
        <w:rPr>
          <w:b/>
          <w:color w:val="000000" w:themeColor="text1"/>
          <w:sz w:val="22"/>
          <w:szCs w:val="22"/>
          <w:lang w:val="en-US"/>
        </w:rPr>
        <w:t>: opportunities</w:t>
      </w:r>
    </w:p>
    <w:p w14:paraId="1F981242" w14:textId="717CC2A8" w:rsidR="0032201C" w:rsidRPr="00CA53A1" w:rsidRDefault="0032201C" w:rsidP="00223CFE">
      <w:pPr>
        <w:spacing w:after="120"/>
        <w:ind w:firstLine="709"/>
        <w:jc w:val="both"/>
        <w:rPr>
          <w:color w:val="FF0000"/>
          <w:sz w:val="22"/>
          <w:szCs w:val="22"/>
          <w:lang w:val="en-US"/>
        </w:rPr>
      </w:pPr>
    </w:p>
    <w:p w14:paraId="2C296B4C" w14:textId="280A3FA1" w:rsidR="00C30798" w:rsidRPr="00C30798" w:rsidRDefault="00C30798" w:rsidP="00C30798">
      <w:pPr>
        <w:pStyle w:val="Testonotaapidipagina"/>
        <w:spacing w:after="120"/>
        <w:ind w:firstLine="567"/>
        <w:jc w:val="both"/>
        <w:rPr>
          <w:color w:val="000000" w:themeColor="text1"/>
          <w:sz w:val="22"/>
          <w:szCs w:val="22"/>
          <w:lang w:val="en-US"/>
        </w:rPr>
      </w:pPr>
      <w:r>
        <w:rPr>
          <w:color w:val="000000" w:themeColor="text1"/>
          <w:sz w:val="22"/>
          <w:szCs w:val="22"/>
          <w:lang w:val="en-US"/>
        </w:rPr>
        <w:t>In conclusion</w:t>
      </w:r>
      <w:r w:rsidR="007173E5" w:rsidRPr="00CA53A1">
        <w:rPr>
          <w:color w:val="000000" w:themeColor="text1"/>
          <w:sz w:val="22"/>
          <w:szCs w:val="22"/>
          <w:lang w:val="en-US"/>
        </w:rPr>
        <w:t>,</w:t>
      </w:r>
      <w:r w:rsidR="000D67F0" w:rsidRPr="00CA53A1">
        <w:rPr>
          <w:color w:val="000000" w:themeColor="text1"/>
          <w:sz w:val="22"/>
          <w:szCs w:val="22"/>
          <w:lang w:val="en-US"/>
        </w:rPr>
        <w:t xml:space="preserve"> g</w:t>
      </w:r>
      <w:r w:rsidR="0032201C" w:rsidRPr="00CA53A1">
        <w:rPr>
          <w:color w:val="000000" w:themeColor="text1"/>
          <w:sz w:val="22"/>
          <w:szCs w:val="22"/>
          <w:lang w:val="en-US"/>
        </w:rPr>
        <w:t xml:space="preserve">roup </w:t>
      </w:r>
      <w:r w:rsidR="00145FAE" w:rsidRPr="00CA53A1">
        <w:rPr>
          <w:color w:val="000000" w:themeColor="text1"/>
          <w:sz w:val="22"/>
          <w:szCs w:val="22"/>
          <w:lang w:val="en-US"/>
        </w:rPr>
        <w:t>actions</w:t>
      </w:r>
      <w:r w:rsidR="0032201C" w:rsidRPr="00CA53A1">
        <w:rPr>
          <w:color w:val="000000" w:themeColor="text1"/>
          <w:sz w:val="22"/>
          <w:szCs w:val="22"/>
          <w:lang w:val="en-US"/>
        </w:rPr>
        <w:t xml:space="preserve"> </w:t>
      </w:r>
      <w:r w:rsidR="007308CC" w:rsidRPr="00CA53A1">
        <w:rPr>
          <w:color w:val="000000" w:themeColor="text1"/>
          <w:sz w:val="22"/>
          <w:szCs w:val="22"/>
          <w:lang w:val="en-US"/>
        </w:rPr>
        <w:t>are not only</w:t>
      </w:r>
      <w:r w:rsidR="0032201C" w:rsidRPr="00CA53A1">
        <w:rPr>
          <w:color w:val="000000" w:themeColor="text1"/>
          <w:sz w:val="22"/>
          <w:szCs w:val="22"/>
          <w:lang w:val="en-US"/>
        </w:rPr>
        <w:t xml:space="preserve"> a deterrent to</w:t>
      </w:r>
      <w:r w:rsidR="007308CC" w:rsidRPr="00CA53A1">
        <w:rPr>
          <w:color w:val="000000" w:themeColor="text1"/>
          <w:sz w:val="22"/>
          <w:szCs w:val="22"/>
          <w:lang w:val="en-US"/>
        </w:rPr>
        <w:t xml:space="preserve"> business</w:t>
      </w:r>
      <w:r w:rsidR="00F76F0D" w:rsidRPr="00CA53A1">
        <w:rPr>
          <w:color w:val="000000" w:themeColor="text1"/>
          <w:sz w:val="22"/>
          <w:szCs w:val="22"/>
          <w:lang w:val="en-US"/>
        </w:rPr>
        <w:t>es</w:t>
      </w:r>
      <w:r w:rsidR="00BC7F15">
        <w:rPr>
          <w:color w:val="000000" w:themeColor="text1"/>
          <w:sz w:val="22"/>
          <w:szCs w:val="22"/>
          <w:lang w:val="en-US"/>
        </w:rPr>
        <w:t xml:space="preserve"> engaging in</w:t>
      </w:r>
      <w:r w:rsidR="00FA3BBB" w:rsidRPr="00CA53A1">
        <w:rPr>
          <w:color w:val="000000" w:themeColor="text1"/>
          <w:sz w:val="22"/>
          <w:szCs w:val="22"/>
          <w:lang w:val="en-US"/>
        </w:rPr>
        <w:t xml:space="preserve"> unlawful conducts</w:t>
      </w:r>
      <w:r w:rsidR="00B113FA" w:rsidRPr="00CA53A1">
        <w:rPr>
          <w:color w:val="000000" w:themeColor="text1"/>
          <w:sz w:val="22"/>
          <w:szCs w:val="22"/>
          <w:lang w:val="en-US"/>
        </w:rPr>
        <w:t>; m</w:t>
      </w:r>
      <w:r w:rsidR="007614E8" w:rsidRPr="00CA53A1">
        <w:rPr>
          <w:color w:val="000000" w:themeColor="text1"/>
          <w:sz w:val="22"/>
          <w:szCs w:val="22"/>
          <w:lang w:val="en-US"/>
        </w:rPr>
        <w:t xml:space="preserve">ore </w:t>
      </w:r>
      <w:r w:rsidR="0032201C" w:rsidRPr="00CA53A1">
        <w:rPr>
          <w:color w:val="000000" w:themeColor="text1"/>
          <w:sz w:val="22"/>
          <w:szCs w:val="22"/>
          <w:lang w:val="en-US"/>
        </w:rPr>
        <w:t xml:space="preserve">importantly, </w:t>
      </w:r>
      <w:r w:rsidR="00BF7010" w:rsidRPr="00CA53A1">
        <w:rPr>
          <w:color w:val="000000" w:themeColor="text1"/>
          <w:sz w:val="22"/>
          <w:szCs w:val="22"/>
          <w:lang w:val="en-US"/>
        </w:rPr>
        <w:t xml:space="preserve">they </w:t>
      </w:r>
      <w:r w:rsidR="00D46FF9" w:rsidRPr="00CA53A1">
        <w:rPr>
          <w:color w:val="000000" w:themeColor="text1"/>
          <w:sz w:val="22"/>
          <w:szCs w:val="22"/>
          <w:lang w:val="en-US"/>
        </w:rPr>
        <w:t xml:space="preserve">may </w:t>
      </w:r>
      <w:r w:rsidR="0025435E" w:rsidRPr="00CA53A1">
        <w:rPr>
          <w:color w:val="000000" w:themeColor="text1"/>
          <w:sz w:val="22"/>
          <w:szCs w:val="22"/>
          <w:lang w:val="en-US"/>
        </w:rPr>
        <w:t>grant</w:t>
      </w:r>
      <w:r w:rsidR="0032201C" w:rsidRPr="00CA53A1">
        <w:rPr>
          <w:color w:val="000000" w:themeColor="text1"/>
          <w:sz w:val="22"/>
          <w:szCs w:val="22"/>
          <w:lang w:val="en-US"/>
        </w:rPr>
        <w:t xml:space="preserve"> individuals effective relief</w:t>
      </w:r>
      <w:r w:rsidR="008A086B" w:rsidRPr="00CA53A1">
        <w:rPr>
          <w:color w:val="000000" w:themeColor="text1"/>
          <w:sz w:val="22"/>
          <w:szCs w:val="22"/>
          <w:lang w:val="en-US"/>
        </w:rPr>
        <w:t>.</w:t>
      </w:r>
      <w:r w:rsidR="008A086B" w:rsidRPr="00CA53A1">
        <w:rPr>
          <w:rStyle w:val="Rimandonotaapidipagina"/>
          <w:color w:val="000000" w:themeColor="text1"/>
          <w:sz w:val="22"/>
          <w:szCs w:val="22"/>
          <w:lang w:val="en-US"/>
        </w:rPr>
        <w:footnoteReference w:id="88"/>
      </w:r>
      <w:r w:rsidR="00145FAE" w:rsidRPr="00CA53A1">
        <w:rPr>
          <w:color w:val="000000" w:themeColor="text1"/>
          <w:sz w:val="22"/>
          <w:szCs w:val="22"/>
          <w:lang w:val="en-US"/>
        </w:rPr>
        <w:t xml:space="preserve"> </w:t>
      </w:r>
      <w:r w:rsidRPr="00C30798">
        <w:rPr>
          <w:color w:val="000000" w:themeColor="text1"/>
          <w:sz w:val="22"/>
          <w:szCs w:val="22"/>
          <w:lang w:val="en-US"/>
        </w:rPr>
        <w:t xml:space="preserve">This is true especially for data protection law. When the right to data privacy is violated on a large scale, collective redress provides a useful procedural tool. The legal basis for this can be found in article 80 GDPR. This is not the only route. Collective actions may be </w:t>
      </w:r>
      <w:r w:rsidRPr="00C30798">
        <w:rPr>
          <w:color w:val="000000" w:themeColor="text1"/>
          <w:sz w:val="22"/>
          <w:szCs w:val="22"/>
          <w:lang w:val="en-US"/>
        </w:rPr>
        <w:lastRenderedPageBreak/>
        <w:t xml:space="preserve">started, when data subjects are also consumers, through national laws implementing Directive </w:t>
      </w:r>
      <w:r w:rsidR="00C44431">
        <w:rPr>
          <w:color w:val="000000" w:themeColor="text1"/>
          <w:sz w:val="22"/>
          <w:szCs w:val="22"/>
          <w:lang w:val="en-US"/>
        </w:rPr>
        <w:t>(</w:t>
      </w:r>
      <w:r w:rsidRPr="00C30798">
        <w:rPr>
          <w:color w:val="000000" w:themeColor="text1"/>
          <w:sz w:val="22"/>
          <w:szCs w:val="22"/>
          <w:lang w:val="en-US"/>
        </w:rPr>
        <w:t>EU</w:t>
      </w:r>
      <w:r w:rsidR="00C44431">
        <w:rPr>
          <w:color w:val="000000" w:themeColor="text1"/>
          <w:sz w:val="22"/>
          <w:szCs w:val="22"/>
          <w:lang w:val="en-US"/>
        </w:rPr>
        <w:t>)</w:t>
      </w:r>
      <w:r w:rsidRPr="00C30798">
        <w:rPr>
          <w:color w:val="000000" w:themeColor="text1"/>
          <w:sz w:val="22"/>
          <w:szCs w:val="22"/>
          <w:lang w:val="en-US"/>
        </w:rPr>
        <w:t xml:space="preserve"> 1828/2020. Thus</w:t>
      </w:r>
      <w:r>
        <w:rPr>
          <w:color w:val="000000" w:themeColor="text1"/>
          <w:sz w:val="22"/>
          <w:szCs w:val="22"/>
          <w:lang w:val="en-US"/>
        </w:rPr>
        <w:t>,</w:t>
      </w:r>
      <w:r w:rsidRPr="00C30798">
        <w:rPr>
          <w:color w:val="000000" w:themeColor="text1"/>
          <w:sz w:val="22"/>
          <w:szCs w:val="22"/>
          <w:lang w:val="en-US"/>
        </w:rPr>
        <w:t xml:space="preserve"> the Directive is </w:t>
      </w:r>
      <w:r w:rsidR="008D22AC">
        <w:rPr>
          <w:color w:val="000000" w:themeColor="text1"/>
          <w:sz w:val="22"/>
          <w:szCs w:val="22"/>
          <w:lang w:val="en-US"/>
        </w:rPr>
        <w:t>taking steps in the right direction</w:t>
      </w:r>
      <w:r w:rsidRPr="00C30798">
        <w:rPr>
          <w:color w:val="000000" w:themeColor="text1"/>
          <w:sz w:val="22"/>
          <w:szCs w:val="22"/>
          <w:lang w:val="en-US"/>
        </w:rPr>
        <w:t xml:space="preserve"> to protect consumer rights. </w:t>
      </w:r>
    </w:p>
    <w:p w14:paraId="4C06030C" w14:textId="10682AD9" w:rsidR="00C30798" w:rsidRPr="00C30798" w:rsidRDefault="00C30798" w:rsidP="00C30798">
      <w:pPr>
        <w:pStyle w:val="Testonotaapidipagina"/>
        <w:spacing w:after="120"/>
        <w:ind w:firstLine="567"/>
        <w:jc w:val="both"/>
        <w:rPr>
          <w:color w:val="000000" w:themeColor="text1"/>
          <w:sz w:val="22"/>
          <w:szCs w:val="22"/>
          <w:lang w:val="en-US"/>
        </w:rPr>
      </w:pPr>
      <w:r w:rsidRPr="00C30798">
        <w:rPr>
          <w:color w:val="000000" w:themeColor="text1"/>
          <w:sz w:val="22"/>
          <w:szCs w:val="22"/>
          <w:lang w:val="en-US"/>
        </w:rPr>
        <w:t>Admittedly, while collective redress poses big challenges, it could certainly be an important tool for the enforcement of digital rights</w:t>
      </w:r>
      <w:r w:rsidR="009D5A9B">
        <w:rPr>
          <w:color w:val="000000" w:themeColor="text1"/>
          <w:sz w:val="22"/>
          <w:szCs w:val="22"/>
          <w:lang w:val="en-US"/>
        </w:rPr>
        <w:t xml:space="preserve"> in the era of ICTs. Under the ‘multi-level’</w:t>
      </w:r>
      <w:r w:rsidRPr="00C30798">
        <w:rPr>
          <w:color w:val="000000" w:themeColor="text1"/>
          <w:sz w:val="22"/>
          <w:szCs w:val="22"/>
          <w:lang w:val="en-US"/>
        </w:rPr>
        <w:t xml:space="preserve"> legal order, we need to (re-)think our traditional dogmas and categories, such as the right of action, standing and liability. Moreover, the enforcement of these rights should be pursued globally and uniformly, since their dimension is global itself. </w:t>
      </w:r>
    </w:p>
    <w:p w14:paraId="16D77D0C" w14:textId="65B2BDB2" w:rsidR="005E767D" w:rsidRDefault="00C30798" w:rsidP="00C30798">
      <w:pPr>
        <w:pStyle w:val="Testonotaapidipagina"/>
        <w:spacing w:after="120"/>
        <w:ind w:firstLine="567"/>
        <w:jc w:val="both"/>
        <w:rPr>
          <w:sz w:val="22"/>
          <w:szCs w:val="22"/>
          <w:lang w:val="en-US"/>
        </w:rPr>
      </w:pPr>
      <w:r w:rsidRPr="00C30798">
        <w:rPr>
          <w:color w:val="000000" w:themeColor="text1"/>
          <w:sz w:val="22"/>
          <w:szCs w:val="22"/>
          <w:lang w:val="en-US"/>
        </w:rPr>
        <w:t>Our globalized and digital world also requires heightened awareness of how procedural and substantive law interconnect. Further harmonization and convergence of procedural law rules are essential to achieve a common ground for handling cross-border disputes. Additionally, Member States and EU institutions, including the judiciary, ought to continue to cooperate closely in ensuring a direct and indirect enforcement system that is both multilayered and effective</w:t>
      </w:r>
      <w:r w:rsidR="00CF0D6A" w:rsidRPr="00CA53A1">
        <w:rPr>
          <w:color w:val="000000" w:themeColor="text1"/>
          <w:sz w:val="22"/>
          <w:szCs w:val="22"/>
          <w:lang w:val="en-US"/>
        </w:rPr>
        <w:t>.</w:t>
      </w:r>
      <w:r w:rsidR="008A086B" w:rsidRPr="00CA53A1">
        <w:rPr>
          <w:rStyle w:val="Rimandonotaapidipagina"/>
          <w:color w:val="000000" w:themeColor="text1"/>
          <w:sz w:val="22"/>
          <w:szCs w:val="22"/>
          <w:lang w:val="en-US"/>
        </w:rPr>
        <w:footnoteReference w:id="89"/>
      </w:r>
      <w:r w:rsidR="00CF0D6A" w:rsidRPr="00CA53A1">
        <w:rPr>
          <w:color w:val="000000" w:themeColor="text1"/>
          <w:sz w:val="22"/>
          <w:szCs w:val="22"/>
          <w:lang w:val="en-US"/>
        </w:rPr>
        <w:t xml:space="preserve"> </w:t>
      </w:r>
      <w:r w:rsidRPr="00C30798">
        <w:rPr>
          <w:color w:val="000000" w:themeColor="text1"/>
          <w:sz w:val="22"/>
          <w:szCs w:val="22"/>
          <w:lang w:val="en-US"/>
        </w:rPr>
        <w:t xml:space="preserve">In such a system, consumer law and data protection law should increasingly interact with each other. </w:t>
      </w:r>
      <w:r>
        <w:rPr>
          <w:color w:val="000000" w:themeColor="text1"/>
          <w:sz w:val="22"/>
          <w:szCs w:val="22"/>
          <w:lang w:val="en-US"/>
        </w:rPr>
        <w:t>Employing</w:t>
      </w:r>
      <w:r w:rsidRPr="00C30798">
        <w:rPr>
          <w:color w:val="000000" w:themeColor="text1"/>
          <w:sz w:val="22"/>
          <w:szCs w:val="22"/>
          <w:lang w:val="en-US"/>
        </w:rPr>
        <w:t xml:space="preserve"> group actions can be pivotal in this regard, ensuring the effectiveness of people’s fundamental rights, especially their right to data privacy.</w:t>
      </w:r>
    </w:p>
    <w:p w14:paraId="46100543" w14:textId="77777777" w:rsidR="008A78F6" w:rsidRDefault="008A78F6" w:rsidP="000C0ADF">
      <w:pPr>
        <w:spacing w:line="360" w:lineRule="auto"/>
        <w:jc w:val="both"/>
        <w:rPr>
          <w:sz w:val="22"/>
          <w:szCs w:val="22"/>
          <w:lang w:val="en-US"/>
        </w:rPr>
      </w:pPr>
    </w:p>
    <w:p w14:paraId="6A999CF5" w14:textId="6A6AF561" w:rsidR="0002068C" w:rsidRDefault="0002068C">
      <w:pPr>
        <w:rPr>
          <w:sz w:val="22"/>
          <w:szCs w:val="22"/>
          <w:lang w:val="en-US"/>
        </w:rPr>
      </w:pPr>
      <w:r>
        <w:rPr>
          <w:sz w:val="22"/>
          <w:szCs w:val="22"/>
          <w:lang w:val="en-US"/>
        </w:rPr>
        <w:br w:type="page"/>
      </w:r>
    </w:p>
    <w:p w14:paraId="2454717E" w14:textId="70838495" w:rsidR="007F41DB" w:rsidRDefault="005C1106" w:rsidP="00294D03">
      <w:pPr>
        <w:rPr>
          <w:b/>
          <w:sz w:val="22"/>
          <w:szCs w:val="22"/>
          <w:lang w:val="en-US"/>
        </w:rPr>
      </w:pPr>
      <w:r>
        <w:rPr>
          <w:b/>
          <w:sz w:val="22"/>
          <w:szCs w:val="22"/>
          <w:lang w:val="en-US"/>
        </w:rPr>
        <w:lastRenderedPageBreak/>
        <w:t>X</w:t>
      </w:r>
      <w:r w:rsidR="0002068C">
        <w:rPr>
          <w:b/>
          <w:sz w:val="22"/>
          <w:szCs w:val="22"/>
          <w:lang w:val="en-US"/>
        </w:rPr>
        <w:t>. Bibliography</w:t>
      </w:r>
    </w:p>
    <w:p w14:paraId="5F18DEFA" w14:textId="77777777" w:rsidR="0011646C" w:rsidRDefault="0011646C" w:rsidP="00294D03">
      <w:pPr>
        <w:rPr>
          <w:b/>
          <w:sz w:val="22"/>
          <w:szCs w:val="22"/>
          <w:lang w:val="en-US"/>
        </w:rPr>
      </w:pPr>
    </w:p>
    <w:p w14:paraId="1C5598FA" w14:textId="77777777" w:rsidR="002D2946" w:rsidRPr="00FB7D59" w:rsidRDefault="002D2946" w:rsidP="0011646C">
      <w:pPr>
        <w:jc w:val="both"/>
        <w:rPr>
          <w:sz w:val="22"/>
          <w:szCs w:val="22"/>
          <w:lang w:val="en-US"/>
        </w:rPr>
      </w:pPr>
    </w:p>
    <w:p w14:paraId="1ADA5FE7" w14:textId="7C7A32F1" w:rsidR="002D2946" w:rsidRDefault="002D2946" w:rsidP="005C1106">
      <w:pPr>
        <w:jc w:val="both"/>
        <w:rPr>
          <w:sz w:val="22"/>
          <w:szCs w:val="22"/>
          <w:lang w:val="en-US"/>
        </w:rPr>
      </w:pPr>
      <w:r w:rsidRPr="00CF16E7">
        <w:rPr>
          <w:sz w:val="22"/>
          <w:szCs w:val="22"/>
          <w:lang w:val="en-US"/>
        </w:rPr>
        <w:t>Biard</w:t>
      </w:r>
      <w:r>
        <w:rPr>
          <w:sz w:val="22"/>
          <w:szCs w:val="22"/>
          <w:lang w:val="en-US"/>
        </w:rPr>
        <w:t xml:space="preserve"> A.</w:t>
      </w:r>
      <w:r w:rsidRPr="00CF16E7">
        <w:rPr>
          <w:sz w:val="22"/>
          <w:szCs w:val="22"/>
          <w:lang w:val="en-US"/>
        </w:rPr>
        <w:t>, ‘Collective redress in the EU: a rainbow behind t</w:t>
      </w:r>
      <w:r w:rsidR="00503AD8">
        <w:rPr>
          <w:sz w:val="22"/>
          <w:szCs w:val="22"/>
          <w:lang w:val="en-US"/>
        </w:rPr>
        <w:t>he clouds?’ 2018 ERA Forum 189</w:t>
      </w:r>
    </w:p>
    <w:p w14:paraId="1AA30EC4" w14:textId="77777777" w:rsidR="00503AD8" w:rsidRDefault="00503AD8" w:rsidP="005C1106">
      <w:pPr>
        <w:jc w:val="both"/>
        <w:rPr>
          <w:sz w:val="22"/>
          <w:szCs w:val="22"/>
          <w:lang w:val="en-US"/>
        </w:rPr>
      </w:pPr>
    </w:p>
    <w:p w14:paraId="469DD36B" w14:textId="279BC2BA" w:rsidR="002D2946" w:rsidRDefault="002D2946" w:rsidP="005C1106">
      <w:pPr>
        <w:jc w:val="both"/>
        <w:rPr>
          <w:sz w:val="22"/>
          <w:szCs w:val="22"/>
          <w:lang w:val="en-US"/>
        </w:rPr>
      </w:pPr>
      <w:r w:rsidRPr="00CF16E7">
        <w:rPr>
          <w:sz w:val="22"/>
          <w:szCs w:val="22"/>
          <w:lang w:val="en-US"/>
        </w:rPr>
        <w:t>Bloustein</w:t>
      </w:r>
      <w:r>
        <w:rPr>
          <w:sz w:val="22"/>
          <w:szCs w:val="22"/>
          <w:lang w:val="en-US"/>
        </w:rPr>
        <w:t xml:space="preserve"> E. J.</w:t>
      </w:r>
      <w:r w:rsidRPr="00CF16E7">
        <w:rPr>
          <w:sz w:val="22"/>
          <w:szCs w:val="22"/>
          <w:lang w:val="en-US"/>
        </w:rPr>
        <w:t xml:space="preserve">, ‘Group Privacy: The Right to Huddle’ (1977) </w:t>
      </w:r>
      <w:r w:rsidR="00503AD8">
        <w:rPr>
          <w:sz w:val="22"/>
          <w:szCs w:val="22"/>
          <w:lang w:val="en-US"/>
        </w:rPr>
        <w:t>8(12) Rutgers-Camden L J 219 ff</w:t>
      </w:r>
    </w:p>
    <w:p w14:paraId="05479E97" w14:textId="77777777" w:rsidR="00503AD8" w:rsidRDefault="00503AD8" w:rsidP="005C1106">
      <w:pPr>
        <w:jc w:val="both"/>
        <w:rPr>
          <w:sz w:val="22"/>
          <w:szCs w:val="22"/>
          <w:lang w:val="en-US"/>
        </w:rPr>
      </w:pPr>
    </w:p>
    <w:p w14:paraId="2FC49A0C" w14:textId="46981882" w:rsidR="002D2946" w:rsidRDefault="002D2946" w:rsidP="005C1106">
      <w:pPr>
        <w:jc w:val="both"/>
        <w:rPr>
          <w:sz w:val="22"/>
          <w:szCs w:val="22"/>
          <w:lang w:val="en-US"/>
        </w:rPr>
      </w:pPr>
      <w:r w:rsidRPr="00CF16E7">
        <w:rPr>
          <w:sz w:val="22"/>
          <w:szCs w:val="22"/>
          <w:lang w:val="en-US"/>
        </w:rPr>
        <w:t>Bradford</w:t>
      </w:r>
      <w:r>
        <w:rPr>
          <w:sz w:val="22"/>
          <w:szCs w:val="22"/>
          <w:lang w:val="en-US"/>
        </w:rPr>
        <w:t xml:space="preserve"> A.</w:t>
      </w:r>
      <w:r w:rsidRPr="00CF16E7">
        <w:rPr>
          <w:sz w:val="22"/>
          <w:szCs w:val="22"/>
          <w:lang w:val="en-US"/>
        </w:rPr>
        <w:t>, ‘The Brussels Effect’ (2012) 10</w:t>
      </w:r>
      <w:r w:rsidR="00503AD8">
        <w:rPr>
          <w:sz w:val="22"/>
          <w:szCs w:val="22"/>
          <w:lang w:val="en-US"/>
        </w:rPr>
        <w:t>7(1) Northwestern U L Rev 22ff</w:t>
      </w:r>
    </w:p>
    <w:p w14:paraId="1D8A1212" w14:textId="77777777" w:rsidR="00503AD8" w:rsidRPr="00CF16E7" w:rsidRDefault="00503AD8" w:rsidP="005C1106">
      <w:pPr>
        <w:jc w:val="both"/>
        <w:rPr>
          <w:sz w:val="22"/>
          <w:szCs w:val="22"/>
          <w:lang w:val="en-US"/>
        </w:rPr>
      </w:pPr>
    </w:p>
    <w:p w14:paraId="54E3EE5E" w14:textId="71EDDA6B" w:rsidR="00503AD8" w:rsidRDefault="002D2946" w:rsidP="005C1106">
      <w:pPr>
        <w:jc w:val="both"/>
        <w:rPr>
          <w:sz w:val="22"/>
          <w:szCs w:val="22"/>
          <w:lang w:val="en-US"/>
        </w:rPr>
      </w:pPr>
      <w:r w:rsidRPr="00CF16E7">
        <w:rPr>
          <w:sz w:val="22"/>
          <w:szCs w:val="22"/>
          <w:lang w:val="en-US"/>
        </w:rPr>
        <w:t xml:space="preserve">Cafaggi </w:t>
      </w:r>
      <w:r>
        <w:rPr>
          <w:sz w:val="22"/>
          <w:szCs w:val="22"/>
          <w:lang w:val="en-US"/>
        </w:rPr>
        <w:t xml:space="preserve">F. </w:t>
      </w:r>
      <w:r w:rsidRPr="00CF16E7">
        <w:rPr>
          <w:sz w:val="22"/>
          <w:szCs w:val="22"/>
          <w:lang w:val="en-US"/>
        </w:rPr>
        <w:t>and Iamiceli</w:t>
      </w:r>
      <w:r>
        <w:rPr>
          <w:sz w:val="22"/>
          <w:szCs w:val="22"/>
          <w:lang w:val="en-US"/>
        </w:rPr>
        <w:t xml:space="preserve"> P.</w:t>
      </w:r>
      <w:r w:rsidRPr="00CF16E7">
        <w:rPr>
          <w:sz w:val="22"/>
          <w:szCs w:val="22"/>
          <w:lang w:val="en-US"/>
        </w:rPr>
        <w:t>, ‘The Principles of Effectiveness, Proportionality and Dissuasiveness in the Enforcement of EU Consumer Law: The Impact of a Triad on the Choice of Civil Remedies and Administrative Sanctions’ (2017) 25(3) Eur Rev Priv L 575 ff</w:t>
      </w:r>
    </w:p>
    <w:p w14:paraId="4CE12738" w14:textId="77777777" w:rsidR="00503AD8" w:rsidRPr="00CF16E7" w:rsidRDefault="00503AD8" w:rsidP="005C1106">
      <w:pPr>
        <w:jc w:val="both"/>
        <w:rPr>
          <w:sz w:val="22"/>
          <w:szCs w:val="22"/>
          <w:lang w:val="en-US"/>
        </w:rPr>
      </w:pPr>
    </w:p>
    <w:p w14:paraId="2898685C" w14:textId="76DA535A" w:rsidR="002D2946" w:rsidRDefault="00503AD8" w:rsidP="005C1106">
      <w:pPr>
        <w:jc w:val="both"/>
        <w:rPr>
          <w:sz w:val="22"/>
          <w:szCs w:val="22"/>
        </w:rPr>
      </w:pPr>
      <w:r w:rsidRPr="00503AD8">
        <w:rPr>
          <w:sz w:val="22"/>
          <w:szCs w:val="22"/>
        </w:rPr>
        <w:t>Camardi C</w:t>
      </w:r>
      <w:r>
        <w:rPr>
          <w:sz w:val="22"/>
          <w:szCs w:val="22"/>
        </w:rPr>
        <w:t xml:space="preserve">., </w:t>
      </w:r>
      <w:r w:rsidR="002D2946" w:rsidRPr="00503AD8">
        <w:rPr>
          <w:sz w:val="22"/>
          <w:szCs w:val="22"/>
        </w:rPr>
        <w:t xml:space="preserve">‘Note critiche in tema di danno da illecito trattamento dei dati personali’ [2020] 3 Jus Civile 810. </w:t>
      </w:r>
    </w:p>
    <w:p w14:paraId="2755D8E9" w14:textId="631ED9E8" w:rsidR="00503AD8" w:rsidRDefault="00503AD8" w:rsidP="005C1106">
      <w:pPr>
        <w:jc w:val="both"/>
        <w:rPr>
          <w:sz w:val="22"/>
          <w:szCs w:val="22"/>
          <w:lang w:val="en-US"/>
        </w:rPr>
      </w:pPr>
      <w:r>
        <w:rPr>
          <w:sz w:val="22"/>
          <w:szCs w:val="22"/>
          <w:lang w:val="en-US"/>
        </w:rPr>
        <w:t>-- --</w:t>
      </w:r>
      <w:r w:rsidRPr="00CF16E7">
        <w:rPr>
          <w:sz w:val="22"/>
          <w:szCs w:val="22"/>
          <w:lang w:val="en-US"/>
        </w:rPr>
        <w:t xml:space="preserve"> ‘Liability and Accountability in the ‘Digital’ Relationship’ in Senigaglia</w:t>
      </w:r>
      <w:r>
        <w:rPr>
          <w:sz w:val="22"/>
          <w:szCs w:val="22"/>
          <w:lang w:val="en-US"/>
        </w:rPr>
        <w:t xml:space="preserve"> R., </w:t>
      </w:r>
      <w:r w:rsidRPr="00CF16E7">
        <w:rPr>
          <w:sz w:val="22"/>
          <w:szCs w:val="22"/>
          <w:lang w:val="en-US"/>
        </w:rPr>
        <w:t xml:space="preserve">Bernes </w:t>
      </w:r>
      <w:r>
        <w:rPr>
          <w:sz w:val="22"/>
          <w:szCs w:val="22"/>
          <w:lang w:val="en-US"/>
        </w:rPr>
        <w:t xml:space="preserve">A. and </w:t>
      </w:r>
      <w:r w:rsidRPr="00CF16E7">
        <w:rPr>
          <w:sz w:val="22"/>
          <w:szCs w:val="22"/>
          <w:lang w:val="en-US"/>
        </w:rPr>
        <w:t xml:space="preserve">Irti </w:t>
      </w:r>
      <w:r>
        <w:rPr>
          <w:sz w:val="22"/>
          <w:szCs w:val="22"/>
          <w:lang w:val="en-US"/>
        </w:rPr>
        <w:t xml:space="preserve">C. </w:t>
      </w:r>
      <w:r w:rsidRPr="00CF16E7">
        <w:rPr>
          <w:sz w:val="22"/>
          <w:szCs w:val="22"/>
          <w:lang w:val="en-US"/>
        </w:rPr>
        <w:t>(eds), Privacy and Data Protection in Softwa</w:t>
      </w:r>
      <w:r>
        <w:rPr>
          <w:sz w:val="22"/>
          <w:szCs w:val="22"/>
          <w:lang w:val="en-US"/>
        </w:rPr>
        <w:t>re Services (Springer 2022) 26</w:t>
      </w:r>
    </w:p>
    <w:p w14:paraId="60F99D92" w14:textId="77777777" w:rsidR="00503AD8" w:rsidRPr="00503AD8" w:rsidRDefault="00503AD8" w:rsidP="005C1106">
      <w:pPr>
        <w:jc w:val="both"/>
        <w:rPr>
          <w:sz w:val="22"/>
          <w:szCs w:val="22"/>
          <w:lang w:val="en-US"/>
        </w:rPr>
      </w:pPr>
    </w:p>
    <w:p w14:paraId="79E85CB9" w14:textId="0E561164" w:rsidR="002D2946" w:rsidRDefault="002D2946" w:rsidP="005C1106">
      <w:pPr>
        <w:jc w:val="both"/>
        <w:rPr>
          <w:sz w:val="22"/>
          <w:szCs w:val="22"/>
          <w:lang w:val="en-US"/>
        </w:rPr>
      </w:pPr>
      <w:r w:rsidRPr="00CF16E7">
        <w:rPr>
          <w:sz w:val="22"/>
          <w:szCs w:val="22"/>
          <w:lang w:val="en-US"/>
        </w:rPr>
        <w:t xml:space="preserve">Cappelletti </w:t>
      </w:r>
      <w:r>
        <w:rPr>
          <w:sz w:val="22"/>
          <w:szCs w:val="22"/>
          <w:lang w:val="en-US"/>
        </w:rPr>
        <w:t xml:space="preserve">M. </w:t>
      </w:r>
      <w:r w:rsidRPr="00CF16E7">
        <w:rPr>
          <w:sz w:val="22"/>
          <w:szCs w:val="22"/>
          <w:lang w:val="en-US"/>
        </w:rPr>
        <w:t>and Garth</w:t>
      </w:r>
      <w:r>
        <w:rPr>
          <w:sz w:val="22"/>
          <w:szCs w:val="22"/>
          <w:lang w:val="en-US"/>
        </w:rPr>
        <w:t xml:space="preserve"> B. G.</w:t>
      </w:r>
      <w:r w:rsidRPr="00CF16E7">
        <w:rPr>
          <w:sz w:val="22"/>
          <w:szCs w:val="22"/>
          <w:lang w:val="en-US"/>
        </w:rPr>
        <w:t>, ‘Access to Justice: The Newest Wave in the Worldwide Movement to Make Rights Effective’ (19</w:t>
      </w:r>
      <w:r w:rsidR="00503AD8">
        <w:rPr>
          <w:sz w:val="22"/>
          <w:szCs w:val="22"/>
          <w:lang w:val="en-US"/>
        </w:rPr>
        <w:t>78) 181 (27) Buffalo L Rev 210</w:t>
      </w:r>
    </w:p>
    <w:p w14:paraId="42B4A6A1" w14:textId="77777777" w:rsidR="00503AD8" w:rsidRDefault="00503AD8" w:rsidP="005C1106">
      <w:pPr>
        <w:jc w:val="both"/>
        <w:rPr>
          <w:sz w:val="22"/>
          <w:szCs w:val="22"/>
          <w:lang w:val="en-US"/>
        </w:rPr>
      </w:pPr>
    </w:p>
    <w:p w14:paraId="623A1419" w14:textId="220F5ECD" w:rsidR="002D2946" w:rsidRDefault="002D2946" w:rsidP="005C1106">
      <w:pPr>
        <w:jc w:val="both"/>
        <w:rPr>
          <w:sz w:val="22"/>
          <w:szCs w:val="22"/>
        </w:rPr>
      </w:pPr>
      <w:r w:rsidRPr="00CF16E7">
        <w:rPr>
          <w:sz w:val="22"/>
          <w:szCs w:val="22"/>
        </w:rPr>
        <w:t>Casarosa</w:t>
      </w:r>
      <w:r>
        <w:rPr>
          <w:sz w:val="22"/>
          <w:szCs w:val="22"/>
        </w:rPr>
        <w:t xml:space="preserve"> F.</w:t>
      </w:r>
      <w:r w:rsidRPr="00CF16E7">
        <w:rPr>
          <w:sz w:val="22"/>
          <w:szCs w:val="22"/>
        </w:rPr>
        <w:t>, ‘Azioni collettive fra tutela dei dati personali e tutela dei consumatori: nuovi stru</w:t>
      </w:r>
      <w:r>
        <w:rPr>
          <w:sz w:val="22"/>
          <w:szCs w:val="22"/>
        </w:rPr>
        <w:t xml:space="preserve">menti alla prova dei fatti’ in </w:t>
      </w:r>
      <w:r w:rsidRPr="00CF16E7">
        <w:rPr>
          <w:sz w:val="22"/>
          <w:szCs w:val="22"/>
        </w:rPr>
        <w:t>Iamiceli</w:t>
      </w:r>
      <w:r>
        <w:rPr>
          <w:sz w:val="22"/>
          <w:szCs w:val="22"/>
        </w:rPr>
        <w:t xml:space="preserve"> P.</w:t>
      </w:r>
      <w:r w:rsidRPr="00CF16E7">
        <w:rPr>
          <w:sz w:val="22"/>
          <w:szCs w:val="22"/>
        </w:rPr>
        <w:t xml:space="preserve"> (ed), Effettività delle tutele e diritto europeo. Un percorso di ricerca per e con la formazione giudiziaria (Open Access – Universit</w:t>
      </w:r>
      <w:r w:rsidR="00503AD8">
        <w:rPr>
          <w:sz w:val="22"/>
          <w:szCs w:val="22"/>
        </w:rPr>
        <w:t>à degli Studi Trento 2020) 439</w:t>
      </w:r>
    </w:p>
    <w:p w14:paraId="0E9916E1" w14:textId="77777777" w:rsidR="00503AD8" w:rsidRDefault="00503AD8" w:rsidP="005C1106">
      <w:pPr>
        <w:jc w:val="both"/>
        <w:rPr>
          <w:sz w:val="22"/>
          <w:szCs w:val="22"/>
        </w:rPr>
      </w:pPr>
    </w:p>
    <w:p w14:paraId="6921FCB0" w14:textId="5E68569A" w:rsidR="002D2946" w:rsidRDefault="00503AD8" w:rsidP="005C1106">
      <w:pPr>
        <w:jc w:val="both"/>
        <w:rPr>
          <w:sz w:val="22"/>
          <w:szCs w:val="22"/>
          <w:lang w:val="en-US"/>
        </w:rPr>
      </w:pPr>
      <w:r>
        <w:rPr>
          <w:sz w:val="22"/>
          <w:szCs w:val="22"/>
          <w:lang w:val="en-US"/>
        </w:rPr>
        <w:t>-- --</w:t>
      </w:r>
      <w:r w:rsidR="002D2946" w:rsidRPr="00694019">
        <w:rPr>
          <w:sz w:val="22"/>
          <w:szCs w:val="22"/>
          <w:lang w:val="en-US"/>
        </w:rPr>
        <w:t xml:space="preserve"> ‘Transnational collective actions for cross-border data protection violations’ (202</w:t>
      </w:r>
      <w:r>
        <w:rPr>
          <w:sz w:val="22"/>
          <w:szCs w:val="22"/>
          <w:lang w:val="en-US"/>
        </w:rPr>
        <w:t>0) 9(3) Internet Policy Rev 5ff</w:t>
      </w:r>
    </w:p>
    <w:p w14:paraId="0C92B57E" w14:textId="77777777" w:rsidR="00503AD8" w:rsidRPr="00694019" w:rsidRDefault="00503AD8" w:rsidP="005C1106">
      <w:pPr>
        <w:jc w:val="both"/>
        <w:rPr>
          <w:sz w:val="22"/>
          <w:szCs w:val="22"/>
          <w:lang w:val="en-US"/>
        </w:rPr>
      </w:pPr>
    </w:p>
    <w:p w14:paraId="57E7E492" w14:textId="0FABC37B" w:rsidR="002D2946" w:rsidRDefault="002D2946" w:rsidP="005C1106">
      <w:pPr>
        <w:jc w:val="both"/>
        <w:rPr>
          <w:sz w:val="22"/>
          <w:szCs w:val="22"/>
          <w:lang w:val="en-US"/>
        </w:rPr>
      </w:pPr>
      <w:r w:rsidRPr="00CF16E7">
        <w:rPr>
          <w:sz w:val="22"/>
          <w:szCs w:val="22"/>
          <w:lang w:val="en-US"/>
        </w:rPr>
        <w:t>Chase</w:t>
      </w:r>
      <w:r>
        <w:rPr>
          <w:sz w:val="22"/>
          <w:szCs w:val="22"/>
          <w:lang w:val="en-US"/>
        </w:rPr>
        <w:t xml:space="preserve"> O. G.</w:t>
      </w:r>
      <w:r w:rsidRPr="00CF16E7">
        <w:rPr>
          <w:sz w:val="22"/>
          <w:szCs w:val="22"/>
          <w:lang w:val="en-US"/>
        </w:rPr>
        <w:t>, Hershkoff</w:t>
      </w:r>
      <w:r>
        <w:rPr>
          <w:sz w:val="22"/>
          <w:szCs w:val="22"/>
          <w:lang w:val="en-US"/>
        </w:rPr>
        <w:t xml:space="preserve"> H.</w:t>
      </w:r>
      <w:r w:rsidRPr="00CF16E7">
        <w:rPr>
          <w:sz w:val="22"/>
          <w:szCs w:val="22"/>
          <w:lang w:val="en-US"/>
        </w:rPr>
        <w:t>, Silberman</w:t>
      </w:r>
      <w:r>
        <w:rPr>
          <w:sz w:val="22"/>
          <w:szCs w:val="22"/>
          <w:lang w:val="en-US"/>
        </w:rPr>
        <w:t xml:space="preserve"> L. J.</w:t>
      </w:r>
      <w:r w:rsidRPr="00CF16E7">
        <w:rPr>
          <w:sz w:val="22"/>
          <w:szCs w:val="22"/>
          <w:lang w:val="en-US"/>
        </w:rPr>
        <w:t>, Sorabji</w:t>
      </w:r>
      <w:r>
        <w:rPr>
          <w:sz w:val="22"/>
          <w:szCs w:val="22"/>
          <w:lang w:val="en-US"/>
        </w:rPr>
        <w:t xml:space="preserve"> J.</w:t>
      </w:r>
      <w:r w:rsidRPr="00CF16E7">
        <w:rPr>
          <w:sz w:val="22"/>
          <w:szCs w:val="22"/>
          <w:lang w:val="en-US"/>
        </w:rPr>
        <w:t>, Stürner</w:t>
      </w:r>
      <w:r>
        <w:rPr>
          <w:sz w:val="22"/>
          <w:szCs w:val="22"/>
          <w:lang w:val="en-US"/>
        </w:rPr>
        <w:t xml:space="preserve"> R.</w:t>
      </w:r>
      <w:r w:rsidRPr="00CF16E7">
        <w:rPr>
          <w:sz w:val="22"/>
          <w:szCs w:val="22"/>
          <w:lang w:val="en-US"/>
        </w:rPr>
        <w:t>, Taniguchi</w:t>
      </w:r>
      <w:r>
        <w:rPr>
          <w:sz w:val="22"/>
          <w:szCs w:val="22"/>
          <w:lang w:val="en-US"/>
        </w:rPr>
        <w:t xml:space="preserve"> Y.</w:t>
      </w:r>
      <w:r w:rsidRPr="00CF16E7">
        <w:rPr>
          <w:sz w:val="22"/>
          <w:szCs w:val="22"/>
          <w:lang w:val="en-US"/>
        </w:rPr>
        <w:t xml:space="preserve"> and Varano</w:t>
      </w:r>
      <w:r>
        <w:rPr>
          <w:sz w:val="22"/>
          <w:szCs w:val="22"/>
          <w:lang w:val="en-US"/>
        </w:rPr>
        <w:t xml:space="preserve"> V.</w:t>
      </w:r>
      <w:r w:rsidRPr="00CF16E7">
        <w:rPr>
          <w:sz w:val="22"/>
          <w:szCs w:val="22"/>
          <w:lang w:val="en-US"/>
        </w:rPr>
        <w:t>, Civil Litigation in Comparative Context (2nd edn, We</w:t>
      </w:r>
      <w:r w:rsidR="00503AD8">
        <w:rPr>
          <w:sz w:val="22"/>
          <w:szCs w:val="22"/>
          <w:lang w:val="en-US"/>
        </w:rPr>
        <w:t>st Academic Publishing 2017) 10</w:t>
      </w:r>
    </w:p>
    <w:p w14:paraId="2E1FA939" w14:textId="77777777" w:rsidR="00503AD8" w:rsidRPr="00CF16E7" w:rsidRDefault="00503AD8" w:rsidP="005C1106">
      <w:pPr>
        <w:jc w:val="both"/>
        <w:rPr>
          <w:sz w:val="22"/>
          <w:szCs w:val="22"/>
          <w:lang w:val="en-US"/>
        </w:rPr>
      </w:pPr>
    </w:p>
    <w:p w14:paraId="76389FCF" w14:textId="7D3C2AE8" w:rsidR="002D2946" w:rsidRDefault="002D2946" w:rsidP="005C1106">
      <w:pPr>
        <w:jc w:val="both"/>
        <w:rPr>
          <w:sz w:val="22"/>
          <w:szCs w:val="22"/>
          <w:lang w:val="en-US"/>
        </w:rPr>
      </w:pPr>
      <w:r w:rsidRPr="00FB7D59">
        <w:rPr>
          <w:sz w:val="22"/>
          <w:szCs w:val="22"/>
          <w:lang w:val="en-US"/>
        </w:rPr>
        <w:t>Cohen</w:t>
      </w:r>
      <w:r>
        <w:rPr>
          <w:sz w:val="22"/>
          <w:szCs w:val="22"/>
          <w:lang w:val="en-US"/>
        </w:rPr>
        <w:t xml:space="preserve"> J.</w:t>
      </w:r>
      <w:r w:rsidRPr="00FB7D59">
        <w:rPr>
          <w:sz w:val="22"/>
          <w:szCs w:val="22"/>
          <w:lang w:val="en-US"/>
        </w:rPr>
        <w:t>, Between Truth and Power. The Legal Constructions of Informat</w:t>
      </w:r>
      <w:r w:rsidR="00503AD8">
        <w:rPr>
          <w:sz w:val="22"/>
          <w:szCs w:val="22"/>
          <w:lang w:val="en-US"/>
        </w:rPr>
        <w:t>ional Capitalism (OUP 2019) 5-6</w:t>
      </w:r>
    </w:p>
    <w:p w14:paraId="2EAEA6A7" w14:textId="77777777" w:rsidR="00503AD8" w:rsidRPr="00FB7D59" w:rsidRDefault="00503AD8" w:rsidP="005C1106">
      <w:pPr>
        <w:jc w:val="both"/>
        <w:rPr>
          <w:sz w:val="22"/>
          <w:szCs w:val="22"/>
          <w:lang w:val="en-US"/>
        </w:rPr>
      </w:pPr>
    </w:p>
    <w:p w14:paraId="7557C22E" w14:textId="1B8C6A26" w:rsidR="002D2946" w:rsidRDefault="002D2946" w:rsidP="005C1106">
      <w:pPr>
        <w:jc w:val="both"/>
        <w:rPr>
          <w:sz w:val="22"/>
          <w:szCs w:val="22"/>
          <w:lang w:val="en-US"/>
        </w:rPr>
      </w:pPr>
      <w:r w:rsidRPr="00CF16E7">
        <w:rPr>
          <w:sz w:val="22"/>
          <w:szCs w:val="22"/>
          <w:lang w:val="en-US"/>
        </w:rPr>
        <w:t xml:space="preserve">Colangelo </w:t>
      </w:r>
      <w:r>
        <w:rPr>
          <w:sz w:val="22"/>
          <w:szCs w:val="22"/>
          <w:lang w:val="en-US"/>
        </w:rPr>
        <w:t xml:space="preserve">G. and </w:t>
      </w:r>
      <w:r w:rsidRPr="00CF16E7">
        <w:rPr>
          <w:sz w:val="22"/>
          <w:szCs w:val="22"/>
          <w:lang w:val="en-US"/>
        </w:rPr>
        <w:t>Maggiolino</w:t>
      </w:r>
      <w:r>
        <w:rPr>
          <w:sz w:val="22"/>
          <w:szCs w:val="22"/>
          <w:lang w:val="en-US"/>
        </w:rPr>
        <w:t xml:space="preserve"> M. T.</w:t>
      </w:r>
      <w:r w:rsidRPr="00CF16E7">
        <w:rPr>
          <w:sz w:val="22"/>
          <w:szCs w:val="22"/>
          <w:lang w:val="en-US"/>
        </w:rPr>
        <w:t>, ‘From fragile to smart consumers: Shifting paradigm for the digital era’ (2019) 35 Com</w:t>
      </w:r>
      <w:r w:rsidR="00503AD8">
        <w:rPr>
          <w:sz w:val="22"/>
          <w:szCs w:val="22"/>
          <w:lang w:val="en-US"/>
        </w:rPr>
        <w:t>puter L &amp; Security Rev 174-176</w:t>
      </w:r>
    </w:p>
    <w:p w14:paraId="28353058" w14:textId="77777777" w:rsidR="00503AD8" w:rsidRDefault="00503AD8" w:rsidP="005C1106">
      <w:pPr>
        <w:jc w:val="both"/>
        <w:rPr>
          <w:sz w:val="22"/>
          <w:szCs w:val="22"/>
          <w:lang w:val="en-US"/>
        </w:rPr>
      </w:pPr>
    </w:p>
    <w:p w14:paraId="42C153D3" w14:textId="74D106E6" w:rsidR="002D2946" w:rsidRDefault="002D2946" w:rsidP="005C1106">
      <w:pPr>
        <w:jc w:val="both"/>
        <w:rPr>
          <w:sz w:val="22"/>
          <w:szCs w:val="22"/>
          <w:lang w:val="en-US"/>
        </w:rPr>
      </w:pPr>
      <w:r w:rsidRPr="00CF16E7">
        <w:rPr>
          <w:sz w:val="22"/>
          <w:szCs w:val="22"/>
          <w:lang w:val="en-US"/>
        </w:rPr>
        <w:t>Commission Staff Working Document, Public Consultation: Towards a Coherent Approach to Collecti</w:t>
      </w:r>
      <w:r>
        <w:rPr>
          <w:sz w:val="22"/>
          <w:szCs w:val="22"/>
          <w:lang w:val="en-US"/>
        </w:rPr>
        <w:t>ve Redress, SEC(2011)173 final</w:t>
      </w:r>
    </w:p>
    <w:p w14:paraId="12029041" w14:textId="77777777" w:rsidR="00503AD8" w:rsidRDefault="00503AD8" w:rsidP="005C1106">
      <w:pPr>
        <w:jc w:val="both"/>
        <w:rPr>
          <w:sz w:val="22"/>
          <w:szCs w:val="22"/>
          <w:lang w:val="en-US"/>
        </w:rPr>
      </w:pPr>
    </w:p>
    <w:p w14:paraId="0DB99BE6" w14:textId="46121E32" w:rsidR="002D2946" w:rsidRDefault="002D2946" w:rsidP="005C1106">
      <w:pPr>
        <w:jc w:val="both"/>
        <w:rPr>
          <w:sz w:val="22"/>
          <w:szCs w:val="22"/>
        </w:rPr>
      </w:pPr>
      <w:r w:rsidRPr="00CF16E7">
        <w:rPr>
          <w:sz w:val="22"/>
          <w:szCs w:val="22"/>
        </w:rPr>
        <w:t>Consolo</w:t>
      </w:r>
      <w:r>
        <w:rPr>
          <w:sz w:val="22"/>
          <w:szCs w:val="22"/>
        </w:rPr>
        <w:t xml:space="preserve"> C.</w:t>
      </w:r>
      <w:r w:rsidRPr="00CF16E7">
        <w:rPr>
          <w:sz w:val="22"/>
          <w:szCs w:val="22"/>
        </w:rPr>
        <w:t>, ‘L’azione di classe, trifasica, infine inserita nel c.p.c’ (2020) 75(2) Rivist</w:t>
      </w:r>
      <w:r w:rsidR="00503AD8">
        <w:rPr>
          <w:sz w:val="22"/>
          <w:szCs w:val="22"/>
        </w:rPr>
        <w:t>a di diritto processuale 714ff</w:t>
      </w:r>
    </w:p>
    <w:p w14:paraId="43163593" w14:textId="77777777" w:rsidR="00503AD8" w:rsidRDefault="00503AD8" w:rsidP="005C1106">
      <w:pPr>
        <w:jc w:val="both"/>
        <w:rPr>
          <w:sz w:val="22"/>
          <w:szCs w:val="22"/>
        </w:rPr>
      </w:pPr>
    </w:p>
    <w:p w14:paraId="249E7CA8" w14:textId="3CC0DF75" w:rsidR="002D2946" w:rsidRDefault="002D2946" w:rsidP="005C1106">
      <w:pPr>
        <w:jc w:val="both"/>
        <w:rPr>
          <w:sz w:val="22"/>
          <w:szCs w:val="22"/>
          <w:lang w:val="en-US"/>
        </w:rPr>
      </w:pPr>
      <w:r w:rsidRPr="00CF16E7">
        <w:rPr>
          <w:sz w:val="22"/>
          <w:szCs w:val="22"/>
          <w:lang w:val="en-US"/>
        </w:rPr>
        <w:t>Council of Europe, European Court of Human Rights, European Data Protection Supervisor and European Union Agency for Fundamental Rights, Handbook on European data protection law - 2018 edition (Publications Off</w:t>
      </w:r>
      <w:r w:rsidR="00503AD8">
        <w:rPr>
          <w:sz w:val="22"/>
          <w:szCs w:val="22"/>
          <w:lang w:val="en-US"/>
        </w:rPr>
        <w:t>ice of the European Union 2019)</w:t>
      </w:r>
    </w:p>
    <w:p w14:paraId="4E496BDC" w14:textId="77777777" w:rsidR="00503AD8" w:rsidRPr="00CF16E7" w:rsidRDefault="00503AD8" w:rsidP="005C1106">
      <w:pPr>
        <w:jc w:val="both"/>
        <w:rPr>
          <w:sz w:val="22"/>
          <w:szCs w:val="22"/>
          <w:lang w:val="en-US"/>
        </w:rPr>
      </w:pPr>
    </w:p>
    <w:p w14:paraId="6F20F20D" w14:textId="77777777" w:rsidR="002D2946" w:rsidRDefault="002D2946" w:rsidP="005C1106">
      <w:pPr>
        <w:jc w:val="both"/>
        <w:rPr>
          <w:sz w:val="22"/>
          <w:szCs w:val="22"/>
          <w:lang w:val="en-US"/>
        </w:rPr>
      </w:pPr>
      <w:r w:rsidRPr="00FB7D59">
        <w:rPr>
          <w:sz w:val="22"/>
          <w:szCs w:val="22"/>
          <w:lang w:val="en-US"/>
        </w:rPr>
        <w:t xml:space="preserve">Crawford </w:t>
      </w:r>
      <w:r>
        <w:rPr>
          <w:sz w:val="22"/>
          <w:szCs w:val="22"/>
          <w:lang w:val="en-US"/>
        </w:rPr>
        <w:t>K. and Boyd D.,</w:t>
      </w:r>
      <w:r w:rsidRPr="00FB7D59">
        <w:rPr>
          <w:sz w:val="22"/>
          <w:szCs w:val="22"/>
          <w:lang w:val="en-US"/>
        </w:rPr>
        <w:t xml:space="preserve"> ‘Critical Questions for Big Data. Provocations for a Cultural, Technological and Scholarly Phenomenon’ (2012) 15(5) Information, </w:t>
      </w:r>
      <w:r>
        <w:rPr>
          <w:sz w:val="22"/>
          <w:szCs w:val="22"/>
          <w:lang w:val="en-US"/>
        </w:rPr>
        <w:t>Communication &amp; Society 662 ff</w:t>
      </w:r>
    </w:p>
    <w:p w14:paraId="71BBC763" w14:textId="77777777" w:rsidR="00503AD8" w:rsidRDefault="00503AD8" w:rsidP="005C1106">
      <w:pPr>
        <w:jc w:val="both"/>
        <w:rPr>
          <w:sz w:val="22"/>
          <w:szCs w:val="22"/>
          <w:lang w:val="en-US"/>
        </w:rPr>
      </w:pPr>
    </w:p>
    <w:p w14:paraId="5DF2BF54" w14:textId="69AFA4A4" w:rsidR="002D2946" w:rsidRDefault="002D2946" w:rsidP="005C1106">
      <w:pPr>
        <w:jc w:val="both"/>
        <w:rPr>
          <w:sz w:val="22"/>
          <w:szCs w:val="22"/>
        </w:rPr>
      </w:pPr>
      <w:r w:rsidRPr="00CF16E7">
        <w:rPr>
          <w:sz w:val="22"/>
          <w:szCs w:val="22"/>
        </w:rPr>
        <w:t>De Cristofaro</w:t>
      </w:r>
      <w:r>
        <w:rPr>
          <w:sz w:val="22"/>
          <w:szCs w:val="22"/>
        </w:rPr>
        <w:t xml:space="preserve"> G.</w:t>
      </w:r>
      <w:r w:rsidRPr="00CF16E7">
        <w:rPr>
          <w:sz w:val="22"/>
          <w:szCs w:val="22"/>
        </w:rPr>
        <w:t>, ‘Azioni “rappresentative” e tutela degli interessi collettivi dei consumatori. La “lunga marcia” che ha condotto all’approvazione della dir. 2020/1828/UE e i profili problematici del suo recepimento nel diritto italiano’ (2022) 45(4) Nuo</w:t>
      </w:r>
      <w:r w:rsidR="00503AD8">
        <w:rPr>
          <w:sz w:val="22"/>
          <w:szCs w:val="22"/>
        </w:rPr>
        <w:t>ve Leggi Civili Commentate 1022</w:t>
      </w:r>
    </w:p>
    <w:p w14:paraId="7B4037F5" w14:textId="77777777" w:rsidR="00503AD8" w:rsidRPr="00CF16E7" w:rsidRDefault="00503AD8" w:rsidP="005C1106">
      <w:pPr>
        <w:jc w:val="both"/>
        <w:rPr>
          <w:sz w:val="22"/>
          <w:szCs w:val="22"/>
        </w:rPr>
      </w:pPr>
    </w:p>
    <w:p w14:paraId="44A2D4DA" w14:textId="0E207B06" w:rsidR="002D2946" w:rsidRDefault="002D2946" w:rsidP="005C1106">
      <w:pPr>
        <w:jc w:val="both"/>
        <w:rPr>
          <w:sz w:val="22"/>
          <w:szCs w:val="22"/>
          <w:lang w:val="en-US"/>
        </w:rPr>
      </w:pPr>
      <w:r w:rsidRPr="00CF16E7">
        <w:rPr>
          <w:sz w:val="22"/>
          <w:szCs w:val="22"/>
          <w:lang w:val="en-US"/>
        </w:rPr>
        <w:t>Dedek</w:t>
      </w:r>
      <w:r>
        <w:rPr>
          <w:sz w:val="22"/>
          <w:szCs w:val="22"/>
          <w:lang w:val="en-US"/>
        </w:rPr>
        <w:t xml:space="preserve"> H.</w:t>
      </w:r>
      <w:r w:rsidRPr="00CF16E7">
        <w:rPr>
          <w:sz w:val="22"/>
          <w:szCs w:val="22"/>
          <w:lang w:val="en-US"/>
        </w:rPr>
        <w:t>, ‘From Norms to Facts: The Realization of Rights in Common and Civil Private Law’ (2010) 56(1) McGil</w:t>
      </w:r>
      <w:r w:rsidR="00503AD8">
        <w:rPr>
          <w:sz w:val="22"/>
          <w:szCs w:val="22"/>
          <w:lang w:val="en-US"/>
        </w:rPr>
        <w:t>l L J 79-80</w:t>
      </w:r>
    </w:p>
    <w:p w14:paraId="0F1C3DB8" w14:textId="77777777" w:rsidR="00503AD8" w:rsidRDefault="00503AD8" w:rsidP="005C1106">
      <w:pPr>
        <w:jc w:val="both"/>
        <w:rPr>
          <w:sz w:val="22"/>
          <w:szCs w:val="22"/>
          <w:lang w:val="en-US"/>
        </w:rPr>
      </w:pPr>
    </w:p>
    <w:p w14:paraId="35CC9925" w14:textId="77777777" w:rsidR="002D2946" w:rsidRDefault="002D2946" w:rsidP="005C1106">
      <w:pPr>
        <w:jc w:val="both"/>
        <w:rPr>
          <w:sz w:val="22"/>
          <w:szCs w:val="22"/>
          <w:lang w:val="en-US"/>
        </w:rPr>
      </w:pPr>
      <w:r w:rsidRPr="00FB7D59">
        <w:rPr>
          <w:sz w:val="22"/>
          <w:szCs w:val="22"/>
          <w:lang w:val="en-US"/>
        </w:rPr>
        <w:lastRenderedPageBreak/>
        <w:t>Diebold</w:t>
      </w:r>
      <w:r>
        <w:rPr>
          <w:sz w:val="22"/>
          <w:szCs w:val="22"/>
          <w:lang w:val="en-US"/>
        </w:rPr>
        <w:t xml:space="preserve"> F. X.</w:t>
      </w:r>
      <w:r w:rsidRPr="00FB7D59">
        <w:rPr>
          <w:sz w:val="22"/>
          <w:szCs w:val="22"/>
          <w:lang w:val="en-US"/>
        </w:rPr>
        <w:t xml:space="preserve">, ‘A Personal Perspective on the Origin(s) and Development of “Big Data”: The Phenomenon, the Term, and the Discipline. 2nd version’ (2012) PIER Working Paper No. 13-003 1ff </w:t>
      </w:r>
      <w:hyperlink r:id="rId10" w:history="1">
        <w:r w:rsidRPr="00094F48">
          <w:rPr>
            <w:rStyle w:val="Collegamentoipertestuale"/>
            <w:sz w:val="22"/>
            <w:szCs w:val="22"/>
            <w:lang w:val="en-US"/>
          </w:rPr>
          <w:t>https://economics.sas.upenn.edu/sites/default/files/filevault/13-003.pdf</w:t>
        </w:r>
      </w:hyperlink>
      <w:r>
        <w:rPr>
          <w:sz w:val="22"/>
          <w:szCs w:val="22"/>
          <w:lang w:val="en-US"/>
        </w:rPr>
        <w:t xml:space="preserve"> accessed 9 December 2022</w:t>
      </w:r>
    </w:p>
    <w:p w14:paraId="49787996" w14:textId="77777777" w:rsidR="00503AD8" w:rsidRDefault="00503AD8" w:rsidP="005C1106">
      <w:pPr>
        <w:jc w:val="both"/>
        <w:rPr>
          <w:sz w:val="22"/>
          <w:szCs w:val="22"/>
          <w:lang w:val="en-US"/>
        </w:rPr>
      </w:pPr>
    </w:p>
    <w:p w14:paraId="1B702948" w14:textId="0E110A1B" w:rsidR="00503AD8" w:rsidRDefault="002D2946" w:rsidP="005C1106">
      <w:pPr>
        <w:jc w:val="both"/>
        <w:rPr>
          <w:sz w:val="22"/>
          <w:szCs w:val="22"/>
          <w:lang w:val="en-US"/>
        </w:rPr>
      </w:pPr>
      <w:r w:rsidRPr="00CF16E7">
        <w:rPr>
          <w:sz w:val="22"/>
          <w:szCs w:val="22"/>
          <w:lang w:val="en-US"/>
        </w:rPr>
        <w:t xml:space="preserve">European Parliament’s JURI Committee, Collective redress in the Member States of </w:t>
      </w:r>
      <w:r w:rsidR="00503AD8">
        <w:rPr>
          <w:sz w:val="22"/>
          <w:szCs w:val="22"/>
          <w:lang w:val="en-US"/>
        </w:rPr>
        <w:t>the European Union (2018) 17ff</w:t>
      </w:r>
    </w:p>
    <w:p w14:paraId="3EBD5C6A" w14:textId="77777777" w:rsidR="00503AD8" w:rsidRDefault="00503AD8" w:rsidP="005C1106">
      <w:pPr>
        <w:jc w:val="both"/>
        <w:rPr>
          <w:sz w:val="22"/>
          <w:szCs w:val="22"/>
          <w:lang w:val="en-US"/>
        </w:rPr>
      </w:pPr>
    </w:p>
    <w:p w14:paraId="1C71B86F" w14:textId="6BEEF14B" w:rsidR="002D2946" w:rsidRDefault="002D2946" w:rsidP="005C1106">
      <w:pPr>
        <w:jc w:val="both"/>
        <w:rPr>
          <w:sz w:val="22"/>
          <w:szCs w:val="22"/>
        </w:rPr>
      </w:pPr>
      <w:r w:rsidRPr="00CF16E7">
        <w:rPr>
          <w:sz w:val="22"/>
          <w:szCs w:val="22"/>
          <w:lang w:val="en-US"/>
        </w:rPr>
        <w:t xml:space="preserve">Fairgrieve </w:t>
      </w:r>
      <w:r>
        <w:rPr>
          <w:sz w:val="22"/>
          <w:szCs w:val="22"/>
          <w:lang w:val="en-US"/>
        </w:rPr>
        <w:t xml:space="preserve">D. and </w:t>
      </w:r>
      <w:r w:rsidRPr="00CF16E7">
        <w:rPr>
          <w:sz w:val="22"/>
          <w:szCs w:val="22"/>
          <w:lang w:val="en-US"/>
        </w:rPr>
        <w:t>Salim</w:t>
      </w:r>
      <w:r>
        <w:rPr>
          <w:sz w:val="22"/>
          <w:szCs w:val="22"/>
          <w:lang w:val="en-US"/>
        </w:rPr>
        <w:t xml:space="preserve"> R.</w:t>
      </w:r>
      <w:r w:rsidRPr="00CF16E7">
        <w:rPr>
          <w:sz w:val="22"/>
          <w:szCs w:val="22"/>
          <w:lang w:val="en-US"/>
        </w:rPr>
        <w:t xml:space="preserve">, ‘Collective Redress in Europe: Moving Forward or Treading Water?’ </w:t>
      </w:r>
      <w:r w:rsidR="00503AD8">
        <w:rPr>
          <w:sz w:val="22"/>
          <w:szCs w:val="22"/>
        </w:rPr>
        <w:t>(2022) 71(2) ICLQ 465 ff</w:t>
      </w:r>
    </w:p>
    <w:p w14:paraId="48ABCCD9" w14:textId="77777777" w:rsidR="00503AD8" w:rsidRDefault="00503AD8" w:rsidP="005C1106">
      <w:pPr>
        <w:jc w:val="both"/>
        <w:rPr>
          <w:sz w:val="22"/>
          <w:szCs w:val="22"/>
        </w:rPr>
      </w:pPr>
    </w:p>
    <w:p w14:paraId="51BD4C5F" w14:textId="66A72B63" w:rsidR="002D2946" w:rsidRDefault="002D2946" w:rsidP="005C1106">
      <w:pPr>
        <w:jc w:val="both"/>
        <w:rPr>
          <w:sz w:val="22"/>
          <w:szCs w:val="22"/>
          <w:lang w:val="en-US"/>
        </w:rPr>
      </w:pPr>
      <w:r w:rsidRPr="00CF16E7">
        <w:rPr>
          <w:sz w:val="22"/>
          <w:szCs w:val="22"/>
          <w:lang w:val="en-US"/>
        </w:rPr>
        <w:t>Gascon Inchausti</w:t>
      </w:r>
      <w:r>
        <w:rPr>
          <w:sz w:val="22"/>
          <w:szCs w:val="22"/>
          <w:lang w:val="en-US"/>
        </w:rPr>
        <w:t xml:space="preserve"> F.</w:t>
      </w:r>
      <w:r w:rsidRPr="00CF16E7">
        <w:rPr>
          <w:sz w:val="22"/>
          <w:szCs w:val="22"/>
          <w:lang w:val="en-US"/>
        </w:rPr>
        <w:t>, ‘A new European way to collective redress? Representative actions under Directive 2020/1828 of 25 November’ (2021) Zeitschrift für das Privatrecht der E</w:t>
      </w:r>
      <w:r w:rsidR="00503AD8">
        <w:rPr>
          <w:sz w:val="22"/>
          <w:szCs w:val="22"/>
          <w:lang w:val="en-US"/>
        </w:rPr>
        <w:t>uropäischen Union 66</w:t>
      </w:r>
    </w:p>
    <w:p w14:paraId="4E85309F" w14:textId="77777777" w:rsidR="00503AD8" w:rsidRPr="00503AD8" w:rsidRDefault="00503AD8" w:rsidP="005C1106">
      <w:pPr>
        <w:jc w:val="both"/>
        <w:rPr>
          <w:sz w:val="22"/>
          <w:szCs w:val="22"/>
          <w:lang w:val="en-US"/>
        </w:rPr>
      </w:pPr>
    </w:p>
    <w:p w14:paraId="6627AE61" w14:textId="54DDD1A4" w:rsidR="002D2946" w:rsidRDefault="002D2946" w:rsidP="005C1106">
      <w:pPr>
        <w:jc w:val="both"/>
        <w:rPr>
          <w:sz w:val="22"/>
          <w:szCs w:val="22"/>
          <w:lang w:val="en-US"/>
        </w:rPr>
      </w:pPr>
      <w:r w:rsidRPr="00CF16E7">
        <w:rPr>
          <w:sz w:val="22"/>
          <w:szCs w:val="22"/>
          <w:lang w:val="en-US"/>
        </w:rPr>
        <w:t>Gellert</w:t>
      </w:r>
      <w:r>
        <w:rPr>
          <w:sz w:val="22"/>
          <w:szCs w:val="22"/>
          <w:lang w:val="en-US"/>
        </w:rPr>
        <w:t xml:space="preserve"> R.</w:t>
      </w:r>
      <w:r w:rsidRPr="00CF16E7">
        <w:rPr>
          <w:sz w:val="22"/>
          <w:szCs w:val="22"/>
          <w:lang w:val="en-US"/>
        </w:rPr>
        <w:t>, The risk-based approach</w:t>
      </w:r>
      <w:r w:rsidR="00503AD8">
        <w:rPr>
          <w:sz w:val="22"/>
          <w:szCs w:val="22"/>
          <w:lang w:val="en-US"/>
        </w:rPr>
        <w:t xml:space="preserve"> to data protection (OUP 2020)</w:t>
      </w:r>
    </w:p>
    <w:p w14:paraId="540B6991" w14:textId="77777777" w:rsidR="00503AD8" w:rsidRPr="00F30EDC" w:rsidRDefault="00503AD8" w:rsidP="005C1106">
      <w:pPr>
        <w:jc w:val="both"/>
        <w:rPr>
          <w:sz w:val="22"/>
          <w:szCs w:val="22"/>
          <w:lang w:val="en-US"/>
        </w:rPr>
      </w:pPr>
    </w:p>
    <w:p w14:paraId="1B599F39" w14:textId="7539DC77" w:rsidR="002D2946" w:rsidRDefault="002D2946" w:rsidP="005C1106">
      <w:pPr>
        <w:jc w:val="both"/>
        <w:rPr>
          <w:sz w:val="22"/>
          <w:szCs w:val="22"/>
        </w:rPr>
      </w:pPr>
      <w:r w:rsidRPr="00CF16E7">
        <w:rPr>
          <w:sz w:val="22"/>
          <w:szCs w:val="22"/>
        </w:rPr>
        <w:t>Giussani</w:t>
      </w:r>
      <w:r>
        <w:rPr>
          <w:sz w:val="22"/>
          <w:szCs w:val="22"/>
        </w:rPr>
        <w:t xml:space="preserve"> A.</w:t>
      </w:r>
      <w:r w:rsidRPr="00CF16E7">
        <w:rPr>
          <w:sz w:val="22"/>
          <w:szCs w:val="22"/>
        </w:rPr>
        <w:t>, ‘La riforma dell’azione di classe’ (2019) 74(6) Rivista di dirit</w:t>
      </w:r>
      <w:r w:rsidR="00503AD8">
        <w:rPr>
          <w:sz w:val="22"/>
          <w:szCs w:val="22"/>
        </w:rPr>
        <w:t>to processuale 1572ff</w:t>
      </w:r>
    </w:p>
    <w:p w14:paraId="5BEEDA4E" w14:textId="77777777" w:rsidR="00503AD8" w:rsidRDefault="00503AD8" w:rsidP="005C1106">
      <w:pPr>
        <w:jc w:val="both"/>
        <w:rPr>
          <w:sz w:val="22"/>
          <w:szCs w:val="22"/>
        </w:rPr>
      </w:pPr>
    </w:p>
    <w:p w14:paraId="583E1B55" w14:textId="7DE5F7BD" w:rsidR="002D2946" w:rsidRDefault="002D2946" w:rsidP="005C1106">
      <w:pPr>
        <w:jc w:val="both"/>
        <w:rPr>
          <w:sz w:val="22"/>
          <w:szCs w:val="22"/>
          <w:lang w:val="en-US"/>
        </w:rPr>
      </w:pPr>
      <w:r w:rsidRPr="00CF16E7">
        <w:rPr>
          <w:sz w:val="22"/>
          <w:szCs w:val="22"/>
          <w:lang w:val="en-US"/>
        </w:rPr>
        <w:t>Grochowski</w:t>
      </w:r>
      <w:r>
        <w:rPr>
          <w:sz w:val="22"/>
          <w:szCs w:val="22"/>
          <w:lang w:val="en-US"/>
        </w:rPr>
        <w:t xml:space="preserve"> M.</w:t>
      </w:r>
      <w:r w:rsidRPr="00CF16E7">
        <w:rPr>
          <w:sz w:val="22"/>
          <w:szCs w:val="22"/>
          <w:lang w:val="en-US"/>
        </w:rPr>
        <w:t>, 'European Consumer Law After The New Deal: A Tryptich' [2020] 39(1)</w:t>
      </w:r>
      <w:r w:rsidR="00503AD8">
        <w:rPr>
          <w:sz w:val="22"/>
          <w:szCs w:val="22"/>
          <w:lang w:val="en-US"/>
        </w:rPr>
        <w:t xml:space="preserve"> Yearbook of European Law 387ff</w:t>
      </w:r>
    </w:p>
    <w:p w14:paraId="6F35CC27" w14:textId="77777777" w:rsidR="00503AD8" w:rsidRPr="00CF16E7" w:rsidRDefault="00503AD8" w:rsidP="005C1106">
      <w:pPr>
        <w:jc w:val="both"/>
        <w:rPr>
          <w:sz w:val="22"/>
          <w:szCs w:val="22"/>
          <w:lang w:val="en-US"/>
        </w:rPr>
      </w:pPr>
    </w:p>
    <w:p w14:paraId="61AB6C9C" w14:textId="050D2B9F" w:rsidR="002D2946" w:rsidRDefault="002D2946" w:rsidP="005C1106">
      <w:pPr>
        <w:jc w:val="both"/>
        <w:rPr>
          <w:sz w:val="22"/>
          <w:szCs w:val="22"/>
          <w:lang w:val="en-US"/>
        </w:rPr>
      </w:pPr>
      <w:r w:rsidRPr="00CF16E7">
        <w:rPr>
          <w:sz w:val="22"/>
          <w:szCs w:val="22"/>
          <w:lang w:val="en-US"/>
        </w:rPr>
        <w:t>Gsell</w:t>
      </w:r>
      <w:r>
        <w:rPr>
          <w:sz w:val="22"/>
          <w:szCs w:val="22"/>
          <w:lang w:val="en-US"/>
        </w:rPr>
        <w:t xml:space="preserve"> B.</w:t>
      </w:r>
      <w:r w:rsidRPr="00CF16E7">
        <w:rPr>
          <w:sz w:val="22"/>
          <w:szCs w:val="22"/>
          <w:lang w:val="en-US"/>
        </w:rPr>
        <w:t>, ‘The New European Directive on Representative Actions for the Protection of the Collective Interests of Consumers – A Huge, But Blurry Step Forward’</w:t>
      </w:r>
      <w:r w:rsidR="00503AD8">
        <w:rPr>
          <w:sz w:val="22"/>
          <w:szCs w:val="22"/>
          <w:lang w:val="en-US"/>
        </w:rPr>
        <w:t xml:space="preserve"> (2021) 58(5) CML Rev 1365 ff</w:t>
      </w:r>
    </w:p>
    <w:p w14:paraId="654F3286" w14:textId="77777777" w:rsidR="00503AD8" w:rsidRPr="00CF16E7" w:rsidRDefault="00503AD8" w:rsidP="005C1106">
      <w:pPr>
        <w:jc w:val="both"/>
        <w:rPr>
          <w:sz w:val="22"/>
          <w:szCs w:val="22"/>
          <w:lang w:val="en-US"/>
        </w:rPr>
      </w:pPr>
    </w:p>
    <w:p w14:paraId="0872899F" w14:textId="23C3040C" w:rsidR="002D2946" w:rsidRDefault="002D2946" w:rsidP="005C1106">
      <w:pPr>
        <w:jc w:val="both"/>
        <w:rPr>
          <w:sz w:val="22"/>
          <w:szCs w:val="22"/>
          <w:lang w:val="en-US"/>
        </w:rPr>
      </w:pPr>
      <w:r w:rsidRPr="00CF16E7">
        <w:rPr>
          <w:sz w:val="22"/>
          <w:szCs w:val="22"/>
          <w:lang w:val="en-US"/>
        </w:rPr>
        <w:t>Hatzimihail</w:t>
      </w:r>
      <w:r>
        <w:rPr>
          <w:sz w:val="22"/>
          <w:szCs w:val="22"/>
          <w:lang w:val="en-US"/>
        </w:rPr>
        <w:t xml:space="preserve"> N. E.</w:t>
      </w:r>
      <w:r w:rsidRPr="00CF16E7">
        <w:rPr>
          <w:sz w:val="22"/>
          <w:szCs w:val="22"/>
          <w:lang w:val="en-US"/>
        </w:rPr>
        <w:t xml:space="preserve">, ‘Collective Redress and Global Governance (Concluding Remarks)’ in </w:t>
      </w:r>
      <w:r>
        <w:rPr>
          <w:sz w:val="22"/>
          <w:szCs w:val="22"/>
          <w:lang w:val="en-US"/>
        </w:rPr>
        <w:t xml:space="preserve">Nuyts A. and </w:t>
      </w:r>
      <w:r w:rsidRPr="00CF16E7">
        <w:rPr>
          <w:sz w:val="22"/>
          <w:szCs w:val="22"/>
          <w:lang w:val="en-US"/>
        </w:rPr>
        <w:t xml:space="preserve">Hatzimihail </w:t>
      </w:r>
      <w:r>
        <w:rPr>
          <w:sz w:val="22"/>
          <w:szCs w:val="22"/>
          <w:lang w:val="en-US"/>
        </w:rPr>
        <w:t xml:space="preserve">N. </w:t>
      </w:r>
      <w:r w:rsidRPr="00CF16E7">
        <w:rPr>
          <w:sz w:val="22"/>
          <w:szCs w:val="22"/>
          <w:lang w:val="en-US"/>
        </w:rPr>
        <w:t>(eds), Cross-Border Class Actions, The European Way (Sellier Eu</w:t>
      </w:r>
      <w:r w:rsidR="00503AD8">
        <w:rPr>
          <w:sz w:val="22"/>
          <w:szCs w:val="22"/>
          <w:lang w:val="en-US"/>
        </w:rPr>
        <w:t>ropean Law Publishers 2014) 315</w:t>
      </w:r>
    </w:p>
    <w:p w14:paraId="2DD371D7" w14:textId="77777777" w:rsidR="00503AD8" w:rsidRPr="00CF16E7" w:rsidRDefault="00503AD8" w:rsidP="005C1106">
      <w:pPr>
        <w:jc w:val="both"/>
        <w:rPr>
          <w:sz w:val="22"/>
          <w:szCs w:val="22"/>
          <w:lang w:val="en-US"/>
        </w:rPr>
      </w:pPr>
    </w:p>
    <w:p w14:paraId="2D165049" w14:textId="329B6D89" w:rsidR="002D2946" w:rsidRDefault="002D2946" w:rsidP="005C1106">
      <w:pPr>
        <w:jc w:val="both"/>
        <w:rPr>
          <w:sz w:val="22"/>
          <w:szCs w:val="22"/>
          <w:lang w:val="en-US"/>
        </w:rPr>
      </w:pPr>
      <w:r w:rsidRPr="00CF16E7">
        <w:rPr>
          <w:sz w:val="22"/>
          <w:szCs w:val="22"/>
          <w:lang w:val="en-US"/>
        </w:rPr>
        <w:t>Helberger</w:t>
      </w:r>
      <w:r>
        <w:rPr>
          <w:sz w:val="22"/>
          <w:szCs w:val="22"/>
          <w:lang w:val="en-US"/>
        </w:rPr>
        <w:t xml:space="preserve"> N., </w:t>
      </w:r>
      <w:r w:rsidRPr="00CF16E7">
        <w:rPr>
          <w:sz w:val="22"/>
          <w:szCs w:val="22"/>
          <w:lang w:val="en-US"/>
        </w:rPr>
        <w:t>Reyna</w:t>
      </w:r>
      <w:r>
        <w:rPr>
          <w:sz w:val="22"/>
          <w:szCs w:val="22"/>
          <w:lang w:val="en-US"/>
        </w:rPr>
        <w:t xml:space="preserve"> A. and </w:t>
      </w:r>
      <w:r w:rsidRPr="00CF16E7">
        <w:rPr>
          <w:sz w:val="22"/>
          <w:szCs w:val="22"/>
          <w:lang w:val="en-US"/>
        </w:rPr>
        <w:t>Zeuiderveen Borgesius</w:t>
      </w:r>
      <w:r>
        <w:rPr>
          <w:sz w:val="22"/>
          <w:szCs w:val="22"/>
          <w:lang w:val="en-US"/>
        </w:rPr>
        <w:t xml:space="preserve"> F.</w:t>
      </w:r>
      <w:r w:rsidRPr="00CF16E7">
        <w:rPr>
          <w:sz w:val="22"/>
          <w:szCs w:val="22"/>
          <w:lang w:val="en-US"/>
        </w:rPr>
        <w:t>, ‘The perfect match? A closer look at the relationship between EU consumer law and data protection l</w:t>
      </w:r>
      <w:r w:rsidR="00503AD8">
        <w:rPr>
          <w:sz w:val="22"/>
          <w:szCs w:val="22"/>
          <w:lang w:val="en-US"/>
        </w:rPr>
        <w:t>aw’ (2017) 54(5) CML Rev 1427ff</w:t>
      </w:r>
    </w:p>
    <w:p w14:paraId="23B00423" w14:textId="77777777" w:rsidR="00503AD8" w:rsidRPr="00CF16E7" w:rsidRDefault="00503AD8" w:rsidP="005C1106">
      <w:pPr>
        <w:jc w:val="both"/>
        <w:rPr>
          <w:sz w:val="22"/>
          <w:szCs w:val="22"/>
          <w:lang w:val="en-US"/>
        </w:rPr>
      </w:pPr>
    </w:p>
    <w:p w14:paraId="4C12CAD9" w14:textId="04A6366F" w:rsidR="002D2946" w:rsidRDefault="002D2946" w:rsidP="005C1106">
      <w:pPr>
        <w:jc w:val="both"/>
        <w:rPr>
          <w:sz w:val="22"/>
          <w:szCs w:val="22"/>
          <w:lang w:val="en-US"/>
        </w:rPr>
      </w:pPr>
      <w:r w:rsidRPr="00CF16E7">
        <w:rPr>
          <w:sz w:val="22"/>
          <w:szCs w:val="22"/>
          <w:lang w:val="en-US"/>
        </w:rPr>
        <w:t>Helm</w:t>
      </w:r>
      <w:r>
        <w:rPr>
          <w:sz w:val="22"/>
          <w:szCs w:val="22"/>
          <w:lang w:val="en-US"/>
        </w:rPr>
        <w:t xml:space="preserve"> P.</w:t>
      </w:r>
      <w:r w:rsidRPr="00CF16E7">
        <w:rPr>
          <w:sz w:val="22"/>
          <w:szCs w:val="22"/>
          <w:lang w:val="en-US"/>
        </w:rPr>
        <w:t xml:space="preserve">, ‘Group Privacy in Times of Big Data. A Literature Review’ (2016) 2(2) </w:t>
      </w:r>
      <w:r w:rsidR="00503AD8">
        <w:rPr>
          <w:sz w:val="22"/>
          <w:szCs w:val="22"/>
          <w:lang w:val="en-US"/>
        </w:rPr>
        <w:t>Digital Culture and Society 144</w:t>
      </w:r>
    </w:p>
    <w:p w14:paraId="36CD7FA2" w14:textId="77777777" w:rsidR="00503AD8" w:rsidRPr="00CF16E7" w:rsidRDefault="00503AD8" w:rsidP="005C1106">
      <w:pPr>
        <w:jc w:val="both"/>
        <w:rPr>
          <w:sz w:val="22"/>
          <w:szCs w:val="22"/>
          <w:lang w:val="en-US"/>
        </w:rPr>
      </w:pPr>
    </w:p>
    <w:p w14:paraId="07FCC7DE" w14:textId="216E622B" w:rsidR="002D2946" w:rsidRDefault="002D2946" w:rsidP="005C1106">
      <w:pPr>
        <w:jc w:val="both"/>
        <w:rPr>
          <w:sz w:val="22"/>
          <w:szCs w:val="22"/>
          <w:lang w:val="en-US"/>
        </w:rPr>
      </w:pPr>
      <w:r w:rsidRPr="00CF16E7">
        <w:rPr>
          <w:sz w:val="22"/>
          <w:szCs w:val="22"/>
          <w:lang w:val="en-US"/>
        </w:rPr>
        <w:t>Hodges</w:t>
      </w:r>
      <w:r>
        <w:rPr>
          <w:sz w:val="22"/>
          <w:szCs w:val="22"/>
          <w:lang w:val="en-US"/>
        </w:rPr>
        <w:t xml:space="preserve"> C.</w:t>
      </w:r>
      <w:r w:rsidRPr="00CF16E7">
        <w:rPr>
          <w:sz w:val="22"/>
          <w:szCs w:val="22"/>
          <w:lang w:val="en-US"/>
        </w:rPr>
        <w:t>, ‘Collective Redress: The Need for New Technologies’ (2019) 42 J of</w:t>
      </w:r>
      <w:r w:rsidR="00503AD8">
        <w:rPr>
          <w:sz w:val="22"/>
          <w:szCs w:val="22"/>
          <w:lang w:val="en-US"/>
        </w:rPr>
        <w:t xml:space="preserve"> Consumer Policy 60-61</w:t>
      </w:r>
    </w:p>
    <w:p w14:paraId="73B92932" w14:textId="77777777" w:rsidR="00503AD8" w:rsidRPr="00CF16E7" w:rsidRDefault="00503AD8" w:rsidP="005C1106">
      <w:pPr>
        <w:jc w:val="both"/>
        <w:rPr>
          <w:sz w:val="22"/>
          <w:szCs w:val="22"/>
          <w:lang w:val="en-US"/>
        </w:rPr>
      </w:pPr>
    </w:p>
    <w:p w14:paraId="078C4BBF" w14:textId="77777777" w:rsidR="002D2946" w:rsidRDefault="002D2946" w:rsidP="005C1106">
      <w:pPr>
        <w:jc w:val="both"/>
        <w:rPr>
          <w:sz w:val="22"/>
          <w:szCs w:val="22"/>
          <w:lang w:val="en-US"/>
        </w:rPr>
      </w:pPr>
      <w:r w:rsidRPr="00CF16E7">
        <w:rPr>
          <w:sz w:val="22"/>
          <w:szCs w:val="22"/>
          <w:lang w:val="en-US"/>
        </w:rPr>
        <w:t>Hornkohl</w:t>
      </w:r>
      <w:r>
        <w:rPr>
          <w:sz w:val="22"/>
          <w:szCs w:val="22"/>
          <w:lang w:val="en-US"/>
        </w:rPr>
        <w:t xml:space="preserve"> L.</w:t>
      </w:r>
      <w:r w:rsidRPr="00CF16E7">
        <w:rPr>
          <w:sz w:val="22"/>
          <w:szCs w:val="22"/>
          <w:lang w:val="en-US"/>
        </w:rPr>
        <w:t>, ‘Up and Downsides of the New EU Directive on Representative Actions for the Protection of the Collective Interests of Consumers – Comments on Key Aspects’ (2021) 5 Eu</w:t>
      </w:r>
      <w:r>
        <w:rPr>
          <w:sz w:val="22"/>
          <w:szCs w:val="22"/>
          <w:lang w:val="en-US"/>
        </w:rPr>
        <w:t>ropean Consumer &amp; Mar L 189 ff</w:t>
      </w:r>
    </w:p>
    <w:p w14:paraId="22B8E0F7" w14:textId="77777777" w:rsidR="00503AD8" w:rsidRDefault="00503AD8" w:rsidP="005C1106">
      <w:pPr>
        <w:jc w:val="both"/>
        <w:rPr>
          <w:sz w:val="22"/>
          <w:szCs w:val="22"/>
          <w:lang w:val="en-US"/>
        </w:rPr>
      </w:pPr>
    </w:p>
    <w:p w14:paraId="2C42856D" w14:textId="596D1ABD" w:rsidR="002D2946" w:rsidRDefault="002D2946" w:rsidP="005C1106">
      <w:pPr>
        <w:jc w:val="both"/>
        <w:rPr>
          <w:sz w:val="22"/>
          <w:szCs w:val="22"/>
          <w:lang w:val="en-US"/>
        </w:rPr>
      </w:pPr>
      <w:r w:rsidRPr="00FB7D59">
        <w:rPr>
          <w:sz w:val="22"/>
          <w:szCs w:val="22"/>
          <w:lang w:val="en-US"/>
        </w:rPr>
        <w:t>Kurzweil</w:t>
      </w:r>
      <w:r>
        <w:rPr>
          <w:sz w:val="22"/>
          <w:szCs w:val="22"/>
          <w:lang w:val="en-US"/>
        </w:rPr>
        <w:t xml:space="preserve"> R.</w:t>
      </w:r>
      <w:r w:rsidRPr="00FB7D59">
        <w:rPr>
          <w:sz w:val="22"/>
          <w:szCs w:val="22"/>
          <w:lang w:val="en-US"/>
        </w:rPr>
        <w:t xml:space="preserve">, ‘What is Artificial Intelligence Anyway?’ (1985) </w:t>
      </w:r>
      <w:r w:rsidR="00503AD8">
        <w:rPr>
          <w:sz w:val="22"/>
          <w:szCs w:val="22"/>
          <w:lang w:val="en-US"/>
        </w:rPr>
        <w:t>73(3) American Scientist 258ff</w:t>
      </w:r>
    </w:p>
    <w:p w14:paraId="42F20315" w14:textId="77777777" w:rsidR="00503AD8" w:rsidRDefault="00503AD8" w:rsidP="005C1106">
      <w:pPr>
        <w:jc w:val="both"/>
        <w:rPr>
          <w:sz w:val="22"/>
          <w:szCs w:val="22"/>
          <w:lang w:val="en-US"/>
        </w:rPr>
      </w:pPr>
    </w:p>
    <w:p w14:paraId="0F05726E" w14:textId="2FC24781" w:rsidR="002D2946" w:rsidRDefault="002D2946" w:rsidP="005C1106">
      <w:pPr>
        <w:jc w:val="both"/>
        <w:rPr>
          <w:sz w:val="22"/>
          <w:szCs w:val="22"/>
          <w:lang w:val="en-US"/>
        </w:rPr>
      </w:pPr>
      <w:r w:rsidRPr="00CF16E7">
        <w:rPr>
          <w:sz w:val="22"/>
          <w:szCs w:val="22"/>
          <w:lang w:val="en-US"/>
        </w:rPr>
        <w:t xml:space="preserve">Law </w:t>
      </w:r>
      <w:r>
        <w:rPr>
          <w:sz w:val="22"/>
          <w:szCs w:val="22"/>
          <w:lang w:val="en-US"/>
        </w:rPr>
        <w:t xml:space="preserve">S. </w:t>
      </w:r>
      <w:r w:rsidRPr="00CF16E7">
        <w:rPr>
          <w:sz w:val="22"/>
          <w:szCs w:val="22"/>
          <w:lang w:val="en-US"/>
        </w:rPr>
        <w:t>and Nowak</w:t>
      </w:r>
      <w:r>
        <w:rPr>
          <w:sz w:val="22"/>
          <w:szCs w:val="22"/>
          <w:lang w:val="en-US"/>
        </w:rPr>
        <w:t xml:space="preserve"> J.</w:t>
      </w:r>
      <w:r w:rsidRPr="00CF16E7">
        <w:rPr>
          <w:sz w:val="22"/>
          <w:szCs w:val="22"/>
          <w:lang w:val="en-US"/>
        </w:rPr>
        <w:t>, ‘Procedural Harmonisation by the</w:t>
      </w:r>
      <w:r>
        <w:rPr>
          <w:sz w:val="22"/>
          <w:szCs w:val="22"/>
          <w:lang w:val="en-US"/>
        </w:rPr>
        <w:t xml:space="preserve"> European Court of Justice’ in </w:t>
      </w:r>
      <w:r w:rsidRPr="00CF16E7">
        <w:rPr>
          <w:sz w:val="22"/>
          <w:szCs w:val="22"/>
          <w:lang w:val="en-US"/>
        </w:rPr>
        <w:t xml:space="preserve">Gascón Inchausti </w:t>
      </w:r>
      <w:r>
        <w:rPr>
          <w:sz w:val="22"/>
          <w:szCs w:val="22"/>
          <w:lang w:val="en-US"/>
        </w:rPr>
        <w:t xml:space="preserve">F. </w:t>
      </w:r>
      <w:r w:rsidRPr="00CF16E7">
        <w:rPr>
          <w:sz w:val="22"/>
          <w:szCs w:val="22"/>
          <w:lang w:val="en-US"/>
        </w:rPr>
        <w:t xml:space="preserve">and Hess </w:t>
      </w:r>
      <w:r>
        <w:rPr>
          <w:sz w:val="22"/>
          <w:szCs w:val="22"/>
          <w:lang w:val="en-US"/>
        </w:rPr>
        <w:t xml:space="preserve">B. </w:t>
      </w:r>
      <w:r w:rsidRPr="00CF16E7">
        <w:rPr>
          <w:sz w:val="22"/>
          <w:szCs w:val="22"/>
          <w:lang w:val="en-US"/>
        </w:rPr>
        <w:t>(eds), The Future of the European Law of Civil Procedure. Coordination or Harmonisation? (Intersentia 2020</w:t>
      </w:r>
      <w:r>
        <w:rPr>
          <w:sz w:val="22"/>
          <w:szCs w:val="22"/>
          <w:lang w:val="en-US"/>
        </w:rPr>
        <w:t xml:space="preserve">) </w:t>
      </w:r>
      <w:r w:rsidR="00503AD8">
        <w:rPr>
          <w:sz w:val="22"/>
          <w:szCs w:val="22"/>
          <w:lang w:val="en-US"/>
        </w:rPr>
        <w:t>19ff, 31ff</w:t>
      </w:r>
    </w:p>
    <w:p w14:paraId="3F475CDC" w14:textId="77777777" w:rsidR="00503AD8" w:rsidRPr="00CF16E7" w:rsidRDefault="00503AD8" w:rsidP="005C1106">
      <w:pPr>
        <w:jc w:val="both"/>
        <w:rPr>
          <w:sz w:val="22"/>
          <w:szCs w:val="22"/>
          <w:lang w:val="en-US"/>
        </w:rPr>
      </w:pPr>
    </w:p>
    <w:p w14:paraId="5F03928B" w14:textId="3DB282C5" w:rsidR="002D2946" w:rsidRDefault="002D2946" w:rsidP="005C1106">
      <w:pPr>
        <w:jc w:val="both"/>
        <w:rPr>
          <w:sz w:val="22"/>
          <w:szCs w:val="22"/>
          <w:lang w:val="en-US"/>
        </w:rPr>
      </w:pPr>
      <w:r w:rsidRPr="00CF16E7">
        <w:rPr>
          <w:sz w:val="22"/>
          <w:szCs w:val="22"/>
          <w:lang w:val="en-US"/>
        </w:rPr>
        <w:t>Lippi</w:t>
      </w:r>
      <w:r>
        <w:rPr>
          <w:sz w:val="22"/>
          <w:szCs w:val="22"/>
          <w:lang w:val="en-US"/>
        </w:rPr>
        <w:t xml:space="preserve"> M., </w:t>
      </w:r>
      <w:r w:rsidRPr="00CF16E7">
        <w:rPr>
          <w:sz w:val="22"/>
          <w:szCs w:val="22"/>
          <w:lang w:val="en-US"/>
        </w:rPr>
        <w:t>Contissa</w:t>
      </w:r>
      <w:r>
        <w:rPr>
          <w:sz w:val="22"/>
          <w:szCs w:val="22"/>
          <w:lang w:val="en-US"/>
        </w:rPr>
        <w:t xml:space="preserve"> G.</w:t>
      </w:r>
      <w:r w:rsidRPr="00CF16E7">
        <w:rPr>
          <w:sz w:val="22"/>
          <w:szCs w:val="22"/>
          <w:lang w:val="en-US"/>
        </w:rPr>
        <w:t>, Jablonowska</w:t>
      </w:r>
      <w:r>
        <w:rPr>
          <w:sz w:val="22"/>
          <w:szCs w:val="22"/>
          <w:lang w:val="en-US"/>
        </w:rPr>
        <w:t xml:space="preserve"> A.</w:t>
      </w:r>
      <w:r w:rsidRPr="00CF16E7">
        <w:rPr>
          <w:sz w:val="22"/>
          <w:szCs w:val="22"/>
          <w:lang w:val="en-US"/>
        </w:rPr>
        <w:t>, Micklitz</w:t>
      </w:r>
      <w:r>
        <w:rPr>
          <w:sz w:val="22"/>
          <w:szCs w:val="22"/>
          <w:lang w:val="en-US"/>
        </w:rPr>
        <w:t xml:space="preserve"> H.W., </w:t>
      </w:r>
      <w:r w:rsidRPr="00CF16E7">
        <w:rPr>
          <w:sz w:val="22"/>
          <w:szCs w:val="22"/>
          <w:lang w:val="en-US"/>
        </w:rPr>
        <w:t>Palka</w:t>
      </w:r>
      <w:r>
        <w:rPr>
          <w:sz w:val="22"/>
          <w:szCs w:val="22"/>
          <w:lang w:val="en-US"/>
        </w:rPr>
        <w:t xml:space="preserve"> P.</w:t>
      </w:r>
      <w:r w:rsidRPr="00CF16E7">
        <w:rPr>
          <w:sz w:val="22"/>
          <w:szCs w:val="22"/>
          <w:lang w:val="en-US"/>
        </w:rPr>
        <w:t>, Sartor</w:t>
      </w:r>
      <w:r>
        <w:rPr>
          <w:sz w:val="22"/>
          <w:szCs w:val="22"/>
          <w:lang w:val="en-US"/>
        </w:rPr>
        <w:t xml:space="preserve"> G.</w:t>
      </w:r>
      <w:r w:rsidRPr="00CF16E7">
        <w:rPr>
          <w:sz w:val="22"/>
          <w:szCs w:val="22"/>
          <w:lang w:val="en-US"/>
        </w:rPr>
        <w:t xml:space="preserve"> and Torroni</w:t>
      </w:r>
      <w:r>
        <w:rPr>
          <w:sz w:val="22"/>
          <w:szCs w:val="22"/>
          <w:lang w:val="en-US"/>
        </w:rPr>
        <w:t xml:space="preserve"> P.</w:t>
      </w:r>
      <w:r w:rsidRPr="00CF16E7">
        <w:rPr>
          <w:sz w:val="22"/>
          <w:szCs w:val="22"/>
          <w:lang w:val="en-US"/>
        </w:rPr>
        <w:t>, ‘The Force Awakens: Artificial Intelligence for Consumer Law’ (2020</w:t>
      </w:r>
      <w:r w:rsidR="00503AD8">
        <w:rPr>
          <w:sz w:val="22"/>
          <w:szCs w:val="22"/>
          <w:lang w:val="en-US"/>
        </w:rPr>
        <w:t>) JAIR 171</w:t>
      </w:r>
    </w:p>
    <w:p w14:paraId="202EC7C5" w14:textId="77777777" w:rsidR="00503AD8" w:rsidRDefault="00503AD8" w:rsidP="005C1106">
      <w:pPr>
        <w:jc w:val="both"/>
        <w:rPr>
          <w:sz w:val="22"/>
          <w:szCs w:val="22"/>
          <w:lang w:val="en-US"/>
        </w:rPr>
      </w:pPr>
    </w:p>
    <w:p w14:paraId="2719BB42" w14:textId="22D2145F" w:rsidR="002D2946" w:rsidRDefault="002D2946" w:rsidP="005C1106">
      <w:pPr>
        <w:jc w:val="both"/>
        <w:rPr>
          <w:sz w:val="22"/>
          <w:szCs w:val="22"/>
        </w:rPr>
      </w:pPr>
      <w:r w:rsidRPr="00CF16E7">
        <w:rPr>
          <w:sz w:val="22"/>
          <w:szCs w:val="22"/>
        </w:rPr>
        <w:t>Luiso</w:t>
      </w:r>
      <w:r>
        <w:rPr>
          <w:sz w:val="22"/>
          <w:szCs w:val="22"/>
        </w:rPr>
        <w:t xml:space="preserve"> F. P.</w:t>
      </w:r>
      <w:r w:rsidRPr="00CF16E7">
        <w:rPr>
          <w:sz w:val="22"/>
          <w:szCs w:val="22"/>
        </w:rPr>
        <w:t>, Principio del contraddittorio ed efficacia della sentenz</w:t>
      </w:r>
      <w:r w:rsidR="00503AD8">
        <w:rPr>
          <w:sz w:val="22"/>
          <w:szCs w:val="22"/>
        </w:rPr>
        <w:t>a verso i terzi (Giuffré 1981)</w:t>
      </w:r>
    </w:p>
    <w:p w14:paraId="7B02505E" w14:textId="77777777" w:rsidR="00503AD8" w:rsidRDefault="00503AD8" w:rsidP="005C1106">
      <w:pPr>
        <w:jc w:val="both"/>
        <w:rPr>
          <w:sz w:val="22"/>
          <w:szCs w:val="22"/>
        </w:rPr>
      </w:pPr>
    </w:p>
    <w:p w14:paraId="2131A7DF" w14:textId="5D2784BC" w:rsidR="002D2946" w:rsidRDefault="002D2946" w:rsidP="005C1106">
      <w:pPr>
        <w:jc w:val="both"/>
        <w:rPr>
          <w:sz w:val="22"/>
          <w:szCs w:val="22"/>
        </w:rPr>
      </w:pPr>
      <w:r>
        <w:rPr>
          <w:sz w:val="22"/>
          <w:szCs w:val="22"/>
        </w:rPr>
        <w:t>Maggiolino M. T.</w:t>
      </w:r>
      <w:r w:rsidRPr="008122D7">
        <w:rPr>
          <w:sz w:val="22"/>
          <w:szCs w:val="22"/>
        </w:rPr>
        <w:t>, I big data e il diri</w:t>
      </w:r>
      <w:r w:rsidR="00503AD8">
        <w:rPr>
          <w:sz w:val="22"/>
          <w:szCs w:val="22"/>
        </w:rPr>
        <w:t>tto antitrust (Egea 2018) 23-72</w:t>
      </w:r>
    </w:p>
    <w:p w14:paraId="365D6CCD" w14:textId="77777777" w:rsidR="00503AD8" w:rsidRDefault="00503AD8" w:rsidP="005C1106">
      <w:pPr>
        <w:jc w:val="both"/>
        <w:rPr>
          <w:sz w:val="22"/>
          <w:szCs w:val="22"/>
        </w:rPr>
      </w:pPr>
    </w:p>
    <w:p w14:paraId="6CC0AA98" w14:textId="77777777" w:rsidR="00503AD8" w:rsidRDefault="00503AD8" w:rsidP="005C1106">
      <w:pPr>
        <w:jc w:val="both"/>
        <w:rPr>
          <w:sz w:val="22"/>
          <w:szCs w:val="22"/>
          <w:lang w:val="en-US"/>
        </w:rPr>
      </w:pPr>
      <w:r w:rsidRPr="002D2946">
        <w:rPr>
          <w:sz w:val="22"/>
          <w:szCs w:val="22"/>
          <w:lang w:val="en-US"/>
        </w:rPr>
        <w:t>Mantelero A., ‘Personal data for decisional purposes in the age of analytics: from an individual to a collective dime</w:t>
      </w:r>
      <w:r w:rsidRPr="00CF16E7">
        <w:rPr>
          <w:sz w:val="22"/>
          <w:szCs w:val="22"/>
          <w:lang w:val="en-US"/>
        </w:rPr>
        <w:t>nsion of data protection’ (2016) 32</w:t>
      </w:r>
      <w:r>
        <w:rPr>
          <w:sz w:val="22"/>
          <w:szCs w:val="22"/>
          <w:lang w:val="en-US"/>
        </w:rPr>
        <w:t xml:space="preserve"> Computer L &amp; Security Rev, 13</w:t>
      </w:r>
    </w:p>
    <w:p w14:paraId="504AB5A6" w14:textId="77777777" w:rsidR="00503AD8" w:rsidRPr="00503AD8" w:rsidRDefault="00503AD8" w:rsidP="005C1106">
      <w:pPr>
        <w:jc w:val="both"/>
        <w:rPr>
          <w:sz w:val="22"/>
          <w:szCs w:val="22"/>
          <w:lang w:val="en-US"/>
        </w:rPr>
      </w:pPr>
    </w:p>
    <w:p w14:paraId="0901E823" w14:textId="55CE177F" w:rsidR="002D2946" w:rsidRDefault="00503AD8" w:rsidP="005C1106">
      <w:pPr>
        <w:jc w:val="both"/>
        <w:rPr>
          <w:sz w:val="22"/>
          <w:szCs w:val="22"/>
          <w:lang w:val="en-US"/>
        </w:rPr>
      </w:pPr>
      <w:r>
        <w:rPr>
          <w:sz w:val="22"/>
          <w:szCs w:val="22"/>
          <w:lang w:val="en-US"/>
        </w:rPr>
        <w:lastRenderedPageBreak/>
        <w:t xml:space="preserve">-- -- </w:t>
      </w:r>
      <w:r w:rsidR="002D2946" w:rsidRPr="00CF16E7">
        <w:rPr>
          <w:sz w:val="22"/>
          <w:szCs w:val="22"/>
          <w:lang w:val="en-US"/>
        </w:rPr>
        <w:t>‘From group privacy to collective privacy: towards a new dimension of privacy and data prote</w:t>
      </w:r>
      <w:r w:rsidR="002D2946">
        <w:rPr>
          <w:sz w:val="22"/>
          <w:szCs w:val="22"/>
          <w:lang w:val="en-US"/>
        </w:rPr>
        <w:t xml:space="preserve">ction in the big data era’ in </w:t>
      </w:r>
      <w:r w:rsidR="002D2946" w:rsidRPr="00CF16E7">
        <w:rPr>
          <w:sz w:val="22"/>
          <w:szCs w:val="22"/>
          <w:lang w:val="en-US"/>
        </w:rPr>
        <w:t>Floridi</w:t>
      </w:r>
      <w:r w:rsidR="002D2946">
        <w:rPr>
          <w:sz w:val="22"/>
          <w:szCs w:val="22"/>
          <w:lang w:val="en-US"/>
        </w:rPr>
        <w:t xml:space="preserve"> L.</w:t>
      </w:r>
      <w:r w:rsidR="002D2946" w:rsidRPr="00CF16E7">
        <w:rPr>
          <w:sz w:val="22"/>
          <w:szCs w:val="22"/>
          <w:lang w:val="en-US"/>
        </w:rPr>
        <w:t xml:space="preserve">, Taylor </w:t>
      </w:r>
      <w:r w:rsidR="002D2946">
        <w:rPr>
          <w:sz w:val="22"/>
          <w:szCs w:val="22"/>
          <w:lang w:val="en-US"/>
        </w:rPr>
        <w:t xml:space="preserve">L. </w:t>
      </w:r>
      <w:r w:rsidR="002D2946" w:rsidRPr="00CF16E7">
        <w:rPr>
          <w:sz w:val="22"/>
          <w:szCs w:val="22"/>
          <w:lang w:val="en-US"/>
        </w:rPr>
        <w:t xml:space="preserve">and </w:t>
      </w:r>
      <w:r w:rsidR="002D2946">
        <w:rPr>
          <w:sz w:val="22"/>
          <w:szCs w:val="22"/>
          <w:lang w:val="en-US"/>
        </w:rPr>
        <w:t>v</w:t>
      </w:r>
      <w:r w:rsidR="002D2946" w:rsidRPr="00CF16E7">
        <w:rPr>
          <w:sz w:val="22"/>
          <w:szCs w:val="22"/>
          <w:lang w:val="en-US"/>
        </w:rPr>
        <w:t xml:space="preserve">an der Sloot </w:t>
      </w:r>
      <w:r w:rsidR="002D2946">
        <w:rPr>
          <w:sz w:val="22"/>
          <w:szCs w:val="22"/>
          <w:lang w:val="en-US"/>
        </w:rPr>
        <w:t xml:space="preserve">B. </w:t>
      </w:r>
      <w:r w:rsidR="002D2946" w:rsidRPr="00CF16E7">
        <w:rPr>
          <w:sz w:val="22"/>
          <w:szCs w:val="22"/>
          <w:lang w:val="en-US"/>
        </w:rPr>
        <w:t>(eds), Group privacy. New challenges of data techn</w:t>
      </w:r>
      <w:r>
        <w:rPr>
          <w:sz w:val="22"/>
          <w:szCs w:val="22"/>
          <w:lang w:val="en-US"/>
        </w:rPr>
        <w:t>ologies (Springer 2017) 179 ff</w:t>
      </w:r>
    </w:p>
    <w:p w14:paraId="4FA76A23" w14:textId="77777777" w:rsidR="00503AD8" w:rsidRDefault="00503AD8" w:rsidP="005C1106">
      <w:pPr>
        <w:jc w:val="both"/>
        <w:rPr>
          <w:sz w:val="22"/>
          <w:szCs w:val="22"/>
          <w:lang w:val="en-US"/>
        </w:rPr>
      </w:pPr>
    </w:p>
    <w:p w14:paraId="2DBF364D" w14:textId="0F28BBB3" w:rsidR="002D2946" w:rsidRDefault="00503AD8" w:rsidP="005C1106">
      <w:pPr>
        <w:jc w:val="both"/>
        <w:rPr>
          <w:sz w:val="22"/>
          <w:szCs w:val="22"/>
        </w:rPr>
      </w:pPr>
      <w:r>
        <w:rPr>
          <w:sz w:val="22"/>
          <w:szCs w:val="22"/>
        </w:rPr>
        <w:t>-- --</w:t>
      </w:r>
      <w:r w:rsidR="002D2946" w:rsidRPr="00CF16E7">
        <w:rPr>
          <w:sz w:val="22"/>
          <w:szCs w:val="22"/>
        </w:rPr>
        <w:t xml:space="preserve"> ‘Responsabilità e rischio nel Regolamento UE 2016/679’ (2017) Nuov</w:t>
      </w:r>
      <w:r>
        <w:rPr>
          <w:sz w:val="22"/>
          <w:szCs w:val="22"/>
        </w:rPr>
        <w:t>e Leggi Civili Commentate 144ff</w:t>
      </w:r>
    </w:p>
    <w:p w14:paraId="595532A1" w14:textId="77777777" w:rsidR="00503AD8" w:rsidRPr="00CF16E7" w:rsidRDefault="00503AD8" w:rsidP="005C1106">
      <w:pPr>
        <w:jc w:val="both"/>
        <w:rPr>
          <w:sz w:val="22"/>
          <w:szCs w:val="22"/>
        </w:rPr>
      </w:pPr>
    </w:p>
    <w:p w14:paraId="1B92F5FA" w14:textId="77777777" w:rsidR="002D2946" w:rsidRDefault="002D2946" w:rsidP="005C1106">
      <w:pPr>
        <w:jc w:val="both"/>
        <w:rPr>
          <w:sz w:val="22"/>
          <w:szCs w:val="22"/>
          <w:lang w:val="en-US"/>
        </w:rPr>
      </w:pPr>
      <w:r w:rsidRPr="00FB7D59">
        <w:rPr>
          <w:sz w:val="22"/>
          <w:szCs w:val="22"/>
          <w:lang w:val="en-US"/>
        </w:rPr>
        <w:t xml:space="preserve">Mayer-Schonberger </w:t>
      </w:r>
      <w:r>
        <w:rPr>
          <w:sz w:val="22"/>
          <w:szCs w:val="22"/>
          <w:lang w:val="en-US"/>
        </w:rPr>
        <w:t xml:space="preserve">V. </w:t>
      </w:r>
      <w:r w:rsidRPr="00FB7D59">
        <w:rPr>
          <w:sz w:val="22"/>
          <w:szCs w:val="22"/>
          <w:lang w:val="en-US"/>
        </w:rPr>
        <w:t>and Cukier</w:t>
      </w:r>
      <w:r>
        <w:rPr>
          <w:sz w:val="22"/>
          <w:szCs w:val="22"/>
          <w:lang w:val="en-US"/>
        </w:rPr>
        <w:t xml:space="preserve"> K.</w:t>
      </w:r>
      <w:r w:rsidRPr="00FB7D59">
        <w:rPr>
          <w:sz w:val="22"/>
          <w:szCs w:val="22"/>
          <w:lang w:val="en-US"/>
        </w:rPr>
        <w:t>, Big Data: A Revolution That Will Transform Howe We Live, Work and Think (H</w:t>
      </w:r>
      <w:r>
        <w:rPr>
          <w:sz w:val="22"/>
          <w:szCs w:val="22"/>
          <w:lang w:val="en-US"/>
        </w:rPr>
        <w:t>oughton Mifflin Harcourt 2013)</w:t>
      </w:r>
    </w:p>
    <w:p w14:paraId="63CF2843" w14:textId="77777777" w:rsidR="00503AD8" w:rsidRDefault="00503AD8" w:rsidP="005C1106">
      <w:pPr>
        <w:jc w:val="both"/>
        <w:rPr>
          <w:sz w:val="22"/>
          <w:szCs w:val="22"/>
          <w:lang w:val="en-US"/>
        </w:rPr>
      </w:pPr>
    </w:p>
    <w:p w14:paraId="6FF32EAA" w14:textId="0B166500" w:rsidR="002D2946" w:rsidRDefault="002D2946" w:rsidP="005C1106">
      <w:pPr>
        <w:jc w:val="both"/>
        <w:rPr>
          <w:sz w:val="22"/>
          <w:szCs w:val="22"/>
          <w:lang w:val="en-US"/>
        </w:rPr>
      </w:pPr>
      <w:r w:rsidRPr="00CF16E7">
        <w:rPr>
          <w:sz w:val="22"/>
          <w:szCs w:val="22"/>
          <w:lang w:val="en-US"/>
        </w:rPr>
        <w:t>Micklitz</w:t>
      </w:r>
      <w:r>
        <w:rPr>
          <w:sz w:val="22"/>
          <w:szCs w:val="22"/>
          <w:lang w:val="en-US"/>
        </w:rPr>
        <w:t xml:space="preserve"> H. W. and </w:t>
      </w:r>
      <w:r w:rsidRPr="00CF16E7">
        <w:rPr>
          <w:sz w:val="22"/>
          <w:szCs w:val="22"/>
          <w:lang w:val="en-US"/>
        </w:rPr>
        <w:t>Cafaggi</w:t>
      </w:r>
      <w:r>
        <w:rPr>
          <w:sz w:val="22"/>
          <w:szCs w:val="22"/>
          <w:lang w:val="en-US"/>
        </w:rPr>
        <w:t xml:space="preserve"> F.</w:t>
      </w:r>
      <w:r w:rsidRPr="00CF16E7">
        <w:rPr>
          <w:sz w:val="22"/>
          <w:szCs w:val="22"/>
          <w:lang w:val="en-US"/>
        </w:rPr>
        <w:t xml:space="preserve">, ‘Administrative and Judicial Enforcement in Consumer Protection: The Way Forward’ (2008) European University Institute Working Papers Law, 3-4 </w:t>
      </w:r>
      <w:hyperlink r:id="rId11" w:history="1">
        <w:r w:rsidRPr="00094F48">
          <w:rPr>
            <w:rStyle w:val="Collegamentoipertestuale"/>
            <w:sz w:val="22"/>
            <w:szCs w:val="22"/>
            <w:lang w:val="en-US"/>
          </w:rPr>
          <w:t>https://cadmus.eui.eu/handle/1814/9848</w:t>
        </w:r>
      </w:hyperlink>
      <w:r>
        <w:rPr>
          <w:sz w:val="22"/>
          <w:szCs w:val="22"/>
          <w:lang w:val="en-US"/>
        </w:rPr>
        <w:t xml:space="preserve"> </w:t>
      </w:r>
      <w:r w:rsidR="00503AD8">
        <w:rPr>
          <w:sz w:val="22"/>
          <w:szCs w:val="22"/>
          <w:lang w:val="en-US"/>
        </w:rPr>
        <w:t>accessed 8 December 2022</w:t>
      </w:r>
    </w:p>
    <w:p w14:paraId="7FDAE1D3" w14:textId="77777777" w:rsidR="00503AD8" w:rsidRPr="00CF16E7" w:rsidRDefault="00503AD8" w:rsidP="005C1106">
      <w:pPr>
        <w:jc w:val="both"/>
        <w:rPr>
          <w:sz w:val="22"/>
          <w:szCs w:val="22"/>
          <w:lang w:val="en-US"/>
        </w:rPr>
      </w:pPr>
    </w:p>
    <w:p w14:paraId="5F522E76" w14:textId="7F85C181" w:rsidR="002D2946" w:rsidRDefault="002D2946" w:rsidP="005C1106">
      <w:pPr>
        <w:jc w:val="both"/>
        <w:rPr>
          <w:sz w:val="22"/>
          <w:szCs w:val="22"/>
          <w:lang w:val="en-US"/>
        </w:rPr>
      </w:pPr>
      <w:r w:rsidRPr="00CF16E7">
        <w:rPr>
          <w:sz w:val="22"/>
          <w:szCs w:val="22"/>
          <w:lang w:val="en-US"/>
        </w:rPr>
        <w:t xml:space="preserve">Money-Kyrle </w:t>
      </w:r>
      <w:r>
        <w:rPr>
          <w:sz w:val="22"/>
          <w:szCs w:val="22"/>
          <w:lang w:val="en-US"/>
        </w:rPr>
        <w:t xml:space="preserve">R. </w:t>
      </w:r>
      <w:r w:rsidRPr="00CF16E7">
        <w:rPr>
          <w:sz w:val="22"/>
          <w:szCs w:val="22"/>
          <w:lang w:val="en-US"/>
        </w:rPr>
        <w:t>and Hodges</w:t>
      </w:r>
      <w:r>
        <w:rPr>
          <w:sz w:val="22"/>
          <w:szCs w:val="22"/>
          <w:lang w:val="en-US"/>
        </w:rPr>
        <w:t xml:space="preserve"> C.</w:t>
      </w:r>
      <w:r w:rsidRPr="00CF16E7">
        <w:rPr>
          <w:sz w:val="22"/>
          <w:szCs w:val="22"/>
          <w:lang w:val="en-US"/>
        </w:rPr>
        <w:t>, ‘European Collective Action: Towards Coherence’ (2012</w:t>
      </w:r>
      <w:r w:rsidR="00503AD8">
        <w:rPr>
          <w:sz w:val="22"/>
          <w:szCs w:val="22"/>
          <w:lang w:val="en-US"/>
        </w:rPr>
        <w:t>) Maastricht J Eur &amp; Comp L 496</w:t>
      </w:r>
    </w:p>
    <w:p w14:paraId="6929B15A" w14:textId="77777777" w:rsidR="00503AD8" w:rsidRPr="00CF16E7" w:rsidRDefault="00503AD8" w:rsidP="005C1106">
      <w:pPr>
        <w:jc w:val="both"/>
        <w:rPr>
          <w:sz w:val="22"/>
          <w:szCs w:val="22"/>
          <w:lang w:val="en-US"/>
        </w:rPr>
      </w:pPr>
    </w:p>
    <w:p w14:paraId="6ECD44B3" w14:textId="1DBA8CDC" w:rsidR="002D2946" w:rsidRDefault="002D2946" w:rsidP="005C1106">
      <w:pPr>
        <w:jc w:val="both"/>
        <w:rPr>
          <w:sz w:val="22"/>
          <w:szCs w:val="22"/>
          <w:lang w:val="en-US"/>
        </w:rPr>
      </w:pPr>
      <w:r w:rsidRPr="00CF16E7">
        <w:rPr>
          <w:sz w:val="22"/>
          <w:szCs w:val="22"/>
          <w:lang w:val="en-US"/>
        </w:rPr>
        <w:t>Mulheron</w:t>
      </w:r>
      <w:r>
        <w:rPr>
          <w:sz w:val="22"/>
          <w:szCs w:val="22"/>
          <w:lang w:val="en-US"/>
        </w:rPr>
        <w:t xml:space="preserve"> R.</w:t>
      </w:r>
      <w:r w:rsidRPr="00CF16E7">
        <w:rPr>
          <w:sz w:val="22"/>
          <w:szCs w:val="22"/>
          <w:lang w:val="en-US"/>
        </w:rPr>
        <w:t>, The Class Action in Common Law Legal Systems: A Comparative Perspect</w:t>
      </w:r>
      <w:r w:rsidR="00503AD8">
        <w:rPr>
          <w:sz w:val="22"/>
          <w:szCs w:val="22"/>
          <w:lang w:val="en-US"/>
        </w:rPr>
        <w:t>ive (Hart Publishing 2004) 37ff</w:t>
      </w:r>
    </w:p>
    <w:p w14:paraId="18BA8620" w14:textId="77777777" w:rsidR="00503AD8" w:rsidRPr="00CF16E7" w:rsidRDefault="00503AD8" w:rsidP="005C1106">
      <w:pPr>
        <w:jc w:val="both"/>
        <w:rPr>
          <w:sz w:val="22"/>
          <w:szCs w:val="22"/>
          <w:lang w:val="en-US"/>
        </w:rPr>
      </w:pPr>
    </w:p>
    <w:p w14:paraId="53D16D14" w14:textId="349A3D25" w:rsidR="002D2946" w:rsidRDefault="002D2946" w:rsidP="005C1106">
      <w:pPr>
        <w:jc w:val="both"/>
        <w:rPr>
          <w:sz w:val="22"/>
          <w:szCs w:val="22"/>
          <w:lang w:val="en-US"/>
        </w:rPr>
      </w:pPr>
      <w:r w:rsidRPr="00CF16E7">
        <w:rPr>
          <w:sz w:val="22"/>
          <w:szCs w:val="22"/>
          <w:lang w:val="en-US"/>
        </w:rPr>
        <w:t>Mullenix</w:t>
      </w:r>
      <w:r>
        <w:rPr>
          <w:sz w:val="22"/>
          <w:szCs w:val="22"/>
          <w:lang w:val="en-US"/>
        </w:rPr>
        <w:t xml:space="preserve"> L. S.</w:t>
      </w:r>
      <w:r w:rsidRPr="00CF16E7">
        <w:rPr>
          <w:sz w:val="22"/>
          <w:szCs w:val="22"/>
          <w:lang w:val="en-US"/>
        </w:rPr>
        <w:t>, ‘Lessons from Abroad: Complexity and Converge</w:t>
      </w:r>
      <w:r w:rsidR="00503AD8">
        <w:rPr>
          <w:sz w:val="22"/>
          <w:szCs w:val="22"/>
          <w:lang w:val="en-US"/>
        </w:rPr>
        <w:t>nce’ (2001) 46 Vill. L. Rev. 7</w:t>
      </w:r>
    </w:p>
    <w:p w14:paraId="26AC21D2" w14:textId="77777777" w:rsidR="00503AD8" w:rsidRDefault="00503AD8" w:rsidP="005C1106">
      <w:pPr>
        <w:jc w:val="both"/>
        <w:rPr>
          <w:sz w:val="22"/>
          <w:szCs w:val="22"/>
          <w:lang w:val="en-US"/>
        </w:rPr>
      </w:pPr>
    </w:p>
    <w:p w14:paraId="24528164" w14:textId="17AA5E95" w:rsidR="002D2946" w:rsidRDefault="002D2946" w:rsidP="005C1106">
      <w:pPr>
        <w:jc w:val="both"/>
        <w:rPr>
          <w:sz w:val="22"/>
          <w:szCs w:val="22"/>
          <w:lang w:val="en-US"/>
        </w:rPr>
      </w:pPr>
      <w:r w:rsidRPr="00CF16E7">
        <w:rPr>
          <w:sz w:val="22"/>
          <w:szCs w:val="22"/>
          <w:lang w:val="en-US"/>
        </w:rPr>
        <w:t>Nagy</w:t>
      </w:r>
      <w:r>
        <w:rPr>
          <w:sz w:val="22"/>
          <w:szCs w:val="22"/>
          <w:lang w:val="en-US"/>
        </w:rPr>
        <w:t xml:space="preserve"> C. I.</w:t>
      </w:r>
      <w:r w:rsidRPr="00CF16E7">
        <w:rPr>
          <w:sz w:val="22"/>
          <w:szCs w:val="22"/>
          <w:lang w:val="en-US"/>
        </w:rPr>
        <w:t>, Collective Actions in Europe: A Comparative, Economic and Transsystemi</w:t>
      </w:r>
      <w:r w:rsidR="00503AD8">
        <w:rPr>
          <w:sz w:val="22"/>
          <w:szCs w:val="22"/>
          <w:lang w:val="en-US"/>
        </w:rPr>
        <w:t>c Analysis (Springer 2019) 71ff</w:t>
      </w:r>
    </w:p>
    <w:p w14:paraId="5C03C506" w14:textId="77777777" w:rsidR="00503AD8" w:rsidRPr="00CF16E7" w:rsidRDefault="00503AD8" w:rsidP="005C1106">
      <w:pPr>
        <w:jc w:val="both"/>
        <w:rPr>
          <w:sz w:val="22"/>
          <w:szCs w:val="22"/>
          <w:lang w:val="en-US"/>
        </w:rPr>
      </w:pPr>
    </w:p>
    <w:p w14:paraId="0C3AAD1A" w14:textId="33E06D8D" w:rsidR="002D2946" w:rsidRDefault="002D2946" w:rsidP="005C1106">
      <w:pPr>
        <w:jc w:val="both"/>
        <w:rPr>
          <w:sz w:val="22"/>
          <w:szCs w:val="22"/>
        </w:rPr>
      </w:pPr>
      <w:r w:rsidRPr="00CF16E7">
        <w:rPr>
          <w:sz w:val="22"/>
          <w:szCs w:val="22"/>
        </w:rPr>
        <w:t>Pardolesi</w:t>
      </w:r>
      <w:r>
        <w:rPr>
          <w:sz w:val="22"/>
          <w:szCs w:val="22"/>
        </w:rPr>
        <w:t xml:space="preserve"> R.</w:t>
      </w:r>
      <w:r w:rsidRPr="00CF16E7">
        <w:rPr>
          <w:sz w:val="22"/>
          <w:szCs w:val="22"/>
        </w:rPr>
        <w:t xml:space="preserve">, ‘Il private enforcement del diritto antitrust: un animale fantastico, e dove trovarlo’ in Benacchio </w:t>
      </w:r>
      <w:r>
        <w:rPr>
          <w:sz w:val="22"/>
          <w:szCs w:val="22"/>
        </w:rPr>
        <w:t xml:space="preserve">G. A. and </w:t>
      </w:r>
      <w:r w:rsidRPr="00CF16E7">
        <w:rPr>
          <w:sz w:val="22"/>
          <w:szCs w:val="22"/>
        </w:rPr>
        <w:t xml:space="preserve">Carpagnano </w:t>
      </w:r>
      <w:r>
        <w:rPr>
          <w:sz w:val="22"/>
          <w:szCs w:val="22"/>
        </w:rPr>
        <w:t xml:space="preserve">M. </w:t>
      </w:r>
      <w:r w:rsidRPr="00CF16E7">
        <w:rPr>
          <w:sz w:val="22"/>
          <w:szCs w:val="22"/>
        </w:rPr>
        <w:t>(eds), Aspetti istituzionali e prospettive applicative del private antitrust enforcement nell’Unione Europea, Atti del VI Convegno Biennale Antitrust Facoltà di Giurisprudenza Trento, 6-8 aprile 2017 (Editorial</w:t>
      </w:r>
      <w:r w:rsidR="00503AD8">
        <w:rPr>
          <w:sz w:val="22"/>
          <w:szCs w:val="22"/>
        </w:rPr>
        <w:t>e Scientifica - Napoli 2018) 49</w:t>
      </w:r>
    </w:p>
    <w:p w14:paraId="2BE2B903" w14:textId="77777777" w:rsidR="00503AD8" w:rsidRPr="00CF16E7" w:rsidRDefault="00503AD8" w:rsidP="005C1106">
      <w:pPr>
        <w:jc w:val="both"/>
        <w:rPr>
          <w:sz w:val="22"/>
          <w:szCs w:val="22"/>
        </w:rPr>
      </w:pPr>
    </w:p>
    <w:p w14:paraId="14BBEFDE" w14:textId="1A33724D" w:rsidR="00503AD8" w:rsidRPr="00694019" w:rsidRDefault="00503AD8" w:rsidP="005C1106">
      <w:pPr>
        <w:jc w:val="both"/>
        <w:rPr>
          <w:sz w:val="22"/>
          <w:szCs w:val="22"/>
          <w:lang w:val="en-US"/>
        </w:rPr>
      </w:pPr>
      <w:r w:rsidRPr="00694019">
        <w:rPr>
          <w:sz w:val="22"/>
          <w:szCs w:val="22"/>
          <w:lang w:val="en-US"/>
        </w:rPr>
        <w:t>Pato</w:t>
      </w:r>
      <w:r>
        <w:rPr>
          <w:sz w:val="22"/>
          <w:szCs w:val="22"/>
          <w:lang w:val="en-US"/>
        </w:rPr>
        <w:t xml:space="preserve"> A.</w:t>
      </w:r>
      <w:r w:rsidRPr="00694019">
        <w:rPr>
          <w:sz w:val="22"/>
          <w:szCs w:val="22"/>
          <w:lang w:val="en-US"/>
        </w:rPr>
        <w:t>, ‘The National Adaptation of Article 80 GDPR, Towards the Effective Private Enforcement of Collective Data Protection Rights’ in McCullagh</w:t>
      </w:r>
      <w:r>
        <w:rPr>
          <w:sz w:val="22"/>
          <w:szCs w:val="22"/>
          <w:lang w:val="en-US"/>
        </w:rPr>
        <w:t xml:space="preserve"> K.</w:t>
      </w:r>
      <w:r w:rsidRPr="00694019">
        <w:rPr>
          <w:sz w:val="22"/>
          <w:szCs w:val="22"/>
          <w:lang w:val="en-US"/>
        </w:rPr>
        <w:t>,</w:t>
      </w:r>
      <w:r>
        <w:rPr>
          <w:sz w:val="22"/>
          <w:szCs w:val="22"/>
          <w:lang w:val="en-US"/>
        </w:rPr>
        <w:t xml:space="preserve"> </w:t>
      </w:r>
      <w:r w:rsidRPr="00694019">
        <w:rPr>
          <w:sz w:val="22"/>
          <w:szCs w:val="22"/>
          <w:lang w:val="en-US"/>
        </w:rPr>
        <w:t xml:space="preserve">Bourton </w:t>
      </w:r>
      <w:r>
        <w:rPr>
          <w:sz w:val="22"/>
          <w:szCs w:val="22"/>
          <w:lang w:val="en-US"/>
        </w:rPr>
        <w:t>S. and</w:t>
      </w:r>
      <w:r w:rsidRPr="00694019">
        <w:rPr>
          <w:sz w:val="22"/>
          <w:szCs w:val="22"/>
          <w:lang w:val="en-US"/>
        </w:rPr>
        <w:t xml:space="preserve"> Tambou </w:t>
      </w:r>
      <w:r>
        <w:rPr>
          <w:sz w:val="22"/>
          <w:szCs w:val="22"/>
          <w:lang w:val="en-US"/>
        </w:rPr>
        <w:t>O.</w:t>
      </w:r>
      <w:r w:rsidRPr="00694019">
        <w:rPr>
          <w:sz w:val="22"/>
          <w:szCs w:val="22"/>
          <w:lang w:val="en-US"/>
        </w:rPr>
        <w:t>(eds), National Adaptations of the GDPR (Series Open Access Boo</w:t>
      </w:r>
      <w:r>
        <w:rPr>
          <w:sz w:val="22"/>
          <w:szCs w:val="22"/>
          <w:lang w:val="en-US"/>
        </w:rPr>
        <w:t>k, Blogdroiteuropéen, 2018) 99</w:t>
      </w:r>
    </w:p>
    <w:p w14:paraId="08EDCE5A" w14:textId="77777777" w:rsidR="00503AD8" w:rsidRDefault="00503AD8" w:rsidP="005C1106">
      <w:pPr>
        <w:jc w:val="both"/>
        <w:rPr>
          <w:sz w:val="22"/>
          <w:szCs w:val="22"/>
          <w:lang w:val="en-US"/>
        </w:rPr>
      </w:pPr>
    </w:p>
    <w:p w14:paraId="420F74C5" w14:textId="283530B1" w:rsidR="002D2946" w:rsidRDefault="00503AD8" w:rsidP="005C1106">
      <w:pPr>
        <w:jc w:val="both"/>
        <w:rPr>
          <w:sz w:val="22"/>
          <w:szCs w:val="22"/>
          <w:lang w:val="en-US"/>
        </w:rPr>
      </w:pPr>
      <w:r>
        <w:rPr>
          <w:sz w:val="22"/>
          <w:szCs w:val="22"/>
          <w:lang w:val="en-US"/>
        </w:rPr>
        <w:t>-- --</w:t>
      </w:r>
      <w:r w:rsidR="002D2946" w:rsidRPr="00694019">
        <w:rPr>
          <w:sz w:val="22"/>
          <w:szCs w:val="22"/>
          <w:lang w:val="en-US"/>
        </w:rPr>
        <w:t xml:space="preserve"> ‘The collective private enforcement of data protection rights in the EU’ (2019) MPI-IAPL Summer Sc</w:t>
      </w:r>
      <w:r>
        <w:rPr>
          <w:sz w:val="22"/>
          <w:szCs w:val="22"/>
          <w:lang w:val="en-US"/>
        </w:rPr>
        <w:t>hool 3rd ed, Forthcoming, 2 ff</w:t>
      </w:r>
    </w:p>
    <w:p w14:paraId="3CC8C47B" w14:textId="77777777" w:rsidR="00503AD8" w:rsidRPr="00694019" w:rsidRDefault="00503AD8" w:rsidP="005C1106">
      <w:pPr>
        <w:jc w:val="both"/>
        <w:rPr>
          <w:sz w:val="22"/>
          <w:szCs w:val="22"/>
          <w:lang w:val="en-US"/>
        </w:rPr>
      </w:pPr>
    </w:p>
    <w:p w14:paraId="74322502" w14:textId="7323BB9D" w:rsidR="00503AD8" w:rsidRDefault="002D2946" w:rsidP="005C1106">
      <w:pPr>
        <w:jc w:val="both"/>
        <w:rPr>
          <w:sz w:val="22"/>
          <w:szCs w:val="22"/>
        </w:rPr>
      </w:pPr>
      <w:r w:rsidRPr="00CF16E7">
        <w:rPr>
          <w:sz w:val="22"/>
          <w:szCs w:val="22"/>
        </w:rPr>
        <w:t>Piraino</w:t>
      </w:r>
      <w:r>
        <w:rPr>
          <w:sz w:val="22"/>
          <w:szCs w:val="22"/>
        </w:rPr>
        <w:t xml:space="preserve"> F.</w:t>
      </w:r>
      <w:r w:rsidRPr="00CF16E7">
        <w:rPr>
          <w:sz w:val="22"/>
          <w:szCs w:val="22"/>
        </w:rPr>
        <w:t>, ‘Il Regolamento generale sulla protezione dei dati personali e i diritti dell’interessato’ (2017) 40(2) Le Nuove L</w:t>
      </w:r>
      <w:r w:rsidR="00503AD8">
        <w:rPr>
          <w:sz w:val="22"/>
          <w:szCs w:val="22"/>
        </w:rPr>
        <w:t>eggi Civili Commentate 377 ff</w:t>
      </w:r>
    </w:p>
    <w:p w14:paraId="3CE1581E" w14:textId="77777777" w:rsidR="00503AD8" w:rsidRPr="00CF16E7" w:rsidRDefault="00503AD8" w:rsidP="005C1106">
      <w:pPr>
        <w:jc w:val="both"/>
        <w:rPr>
          <w:sz w:val="22"/>
          <w:szCs w:val="22"/>
        </w:rPr>
      </w:pPr>
    </w:p>
    <w:p w14:paraId="2452BCEB" w14:textId="55190397" w:rsidR="002D2946" w:rsidRDefault="002D2946" w:rsidP="005C1106">
      <w:pPr>
        <w:jc w:val="both"/>
        <w:rPr>
          <w:sz w:val="22"/>
          <w:szCs w:val="22"/>
          <w:lang w:val="en-US"/>
        </w:rPr>
      </w:pPr>
      <w:r w:rsidRPr="00CF16E7">
        <w:rPr>
          <w:sz w:val="22"/>
          <w:szCs w:val="22"/>
          <w:lang w:val="en-US"/>
        </w:rPr>
        <w:t>Requejo Isidro</w:t>
      </w:r>
      <w:r>
        <w:rPr>
          <w:sz w:val="22"/>
          <w:szCs w:val="22"/>
          <w:lang w:val="en-US"/>
        </w:rPr>
        <w:t xml:space="preserve"> M.</w:t>
      </w:r>
      <w:r w:rsidRPr="00CF16E7">
        <w:rPr>
          <w:sz w:val="22"/>
          <w:szCs w:val="22"/>
          <w:lang w:val="en-US"/>
        </w:rPr>
        <w:t xml:space="preserve">, ‘Procedural Harmonisation and Private Enforcement in the GDPR’ in Gascón Inchausti </w:t>
      </w:r>
      <w:r>
        <w:rPr>
          <w:sz w:val="22"/>
          <w:szCs w:val="22"/>
          <w:lang w:val="en-US"/>
        </w:rPr>
        <w:t xml:space="preserve">F. </w:t>
      </w:r>
      <w:r w:rsidRPr="00CF16E7">
        <w:rPr>
          <w:sz w:val="22"/>
          <w:szCs w:val="22"/>
          <w:lang w:val="en-US"/>
        </w:rPr>
        <w:t xml:space="preserve">and Hess </w:t>
      </w:r>
      <w:r>
        <w:rPr>
          <w:sz w:val="22"/>
          <w:szCs w:val="22"/>
          <w:lang w:val="en-US"/>
        </w:rPr>
        <w:t xml:space="preserve">B. </w:t>
      </w:r>
      <w:r w:rsidRPr="00CF16E7">
        <w:rPr>
          <w:sz w:val="22"/>
          <w:szCs w:val="22"/>
          <w:lang w:val="en-US"/>
        </w:rPr>
        <w:t>(eds), The Future of the European Law of Civil Procedure. Coordination or Harmon</w:t>
      </w:r>
      <w:r w:rsidR="00503AD8">
        <w:rPr>
          <w:sz w:val="22"/>
          <w:szCs w:val="22"/>
          <w:lang w:val="en-US"/>
        </w:rPr>
        <w:t>isation? (Intersentia 2020) 194</w:t>
      </w:r>
    </w:p>
    <w:p w14:paraId="3BABAB2C" w14:textId="77777777" w:rsidR="00503AD8" w:rsidRPr="00CF16E7" w:rsidRDefault="00503AD8" w:rsidP="005C1106">
      <w:pPr>
        <w:jc w:val="both"/>
        <w:rPr>
          <w:sz w:val="22"/>
          <w:szCs w:val="22"/>
          <w:lang w:val="en-US"/>
        </w:rPr>
      </w:pPr>
    </w:p>
    <w:p w14:paraId="15263C65" w14:textId="596AA904" w:rsidR="002D2946" w:rsidRDefault="002D2946" w:rsidP="005C1106">
      <w:pPr>
        <w:jc w:val="both"/>
        <w:rPr>
          <w:sz w:val="22"/>
          <w:szCs w:val="22"/>
          <w:lang w:val="en-US"/>
        </w:rPr>
      </w:pPr>
      <w:r w:rsidRPr="00FB7D59">
        <w:rPr>
          <w:sz w:val="22"/>
          <w:szCs w:val="22"/>
          <w:lang w:val="en-US"/>
        </w:rPr>
        <w:t>Ricciuto</w:t>
      </w:r>
      <w:r>
        <w:rPr>
          <w:sz w:val="22"/>
          <w:szCs w:val="22"/>
          <w:lang w:val="en-US"/>
        </w:rPr>
        <w:t xml:space="preserve"> V.</w:t>
      </w:r>
      <w:r w:rsidRPr="00FB7D59">
        <w:rPr>
          <w:sz w:val="22"/>
          <w:szCs w:val="22"/>
          <w:lang w:val="en-US"/>
        </w:rPr>
        <w:t>, ‘Authorities and Private Companies in Regulating Software Technologies’, in Roberto Senigaglia, Claudia Irti and Alessandro Bernes (eds), Privacy and Data Protection in Software Services (Springer, 2022)</w:t>
      </w:r>
      <w:r w:rsidR="00503AD8">
        <w:rPr>
          <w:sz w:val="22"/>
          <w:szCs w:val="22"/>
          <w:lang w:val="en-US"/>
        </w:rPr>
        <w:t xml:space="preserve"> 16</w:t>
      </w:r>
    </w:p>
    <w:p w14:paraId="7D6CFE74" w14:textId="77777777" w:rsidR="00503AD8" w:rsidRDefault="00503AD8" w:rsidP="005C1106">
      <w:pPr>
        <w:jc w:val="both"/>
        <w:rPr>
          <w:sz w:val="22"/>
          <w:szCs w:val="22"/>
          <w:lang w:val="en-US"/>
        </w:rPr>
      </w:pPr>
    </w:p>
    <w:p w14:paraId="76E7AAEE" w14:textId="66FE174B" w:rsidR="002D2946" w:rsidRDefault="002D2946" w:rsidP="005C1106">
      <w:pPr>
        <w:jc w:val="both"/>
        <w:rPr>
          <w:sz w:val="22"/>
          <w:szCs w:val="22"/>
          <w:lang w:val="en-US"/>
        </w:rPr>
      </w:pPr>
      <w:r w:rsidRPr="00CF16E7">
        <w:rPr>
          <w:sz w:val="22"/>
          <w:szCs w:val="22"/>
          <w:lang w:val="en-US"/>
        </w:rPr>
        <w:t>Rott</w:t>
      </w:r>
      <w:r>
        <w:rPr>
          <w:sz w:val="22"/>
          <w:szCs w:val="22"/>
          <w:lang w:val="en-US"/>
        </w:rPr>
        <w:t xml:space="preserve"> P.</w:t>
      </w:r>
      <w:r w:rsidRPr="00CF16E7">
        <w:rPr>
          <w:sz w:val="22"/>
          <w:szCs w:val="22"/>
          <w:lang w:val="en-US"/>
        </w:rPr>
        <w:t>, ‘Data protection law as consumer law. How consumer organisations can contribute to the enforcement of data protection law’ (2017) 3(6) J</w:t>
      </w:r>
      <w:r w:rsidR="00503AD8">
        <w:rPr>
          <w:sz w:val="22"/>
          <w:szCs w:val="22"/>
          <w:lang w:val="en-US"/>
        </w:rPr>
        <w:t xml:space="preserve"> Eur Consumer &amp; Market L 115 ff</w:t>
      </w:r>
    </w:p>
    <w:p w14:paraId="7AFD6AFB" w14:textId="77777777" w:rsidR="00503AD8" w:rsidRPr="00CF16E7" w:rsidRDefault="00503AD8" w:rsidP="005C1106">
      <w:pPr>
        <w:jc w:val="both"/>
        <w:rPr>
          <w:sz w:val="22"/>
          <w:szCs w:val="22"/>
          <w:lang w:val="en-US"/>
        </w:rPr>
      </w:pPr>
    </w:p>
    <w:p w14:paraId="30956E2A" w14:textId="6E56C486" w:rsidR="002D2946" w:rsidRDefault="002D2946" w:rsidP="005C1106">
      <w:pPr>
        <w:jc w:val="both"/>
        <w:rPr>
          <w:sz w:val="22"/>
          <w:szCs w:val="22"/>
          <w:lang w:val="en-US"/>
        </w:rPr>
      </w:pPr>
      <w:r w:rsidRPr="00FB7D59">
        <w:rPr>
          <w:sz w:val="22"/>
          <w:szCs w:val="22"/>
          <w:lang w:val="en-US"/>
        </w:rPr>
        <w:t xml:space="preserve">Rubinfeld </w:t>
      </w:r>
      <w:r>
        <w:rPr>
          <w:sz w:val="22"/>
          <w:szCs w:val="22"/>
          <w:lang w:val="en-US"/>
        </w:rPr>
        <w:t xml:space="preserve">D. L. </w:t>
      </w:r>
      <w:r w:rsidRPr="00FB7D59">
        <w:rPr>
          <w:sz w:val="22"/>
          <w:szCs w:val="22"/>
          <w:lang w:val="en-US"/>
        </w:rPr>
        <w:t>and Gal</w:t>
      </w:r>
      <w:r>
        <w:rPr>
          <w:sz w:val="22"/>
          <w:szCs w:val="22"/>
          <w:lang w:val="en-US"/>
        </w:rPr>
        <w:t xml:space="preserve"> M.S.</w:t>
      </w:r>
      <w:r w:rsidRPr="00FB7D59">
        <w:rPr>
          <w:sz w:val="22"/>
          <w:szCs w:val="22"/>
          <w:lang w:val="en-US"/>
        </w:rPr>
        <w:t>, ‘Access Barriers to Big Data’ (201</w:t>
      </w:r>
      <w:r w:rsidR="00503AD8">
        <w:rPr>
          <w:sz w:val="22"/>
          <w:szCs w:val="22"/>
          <w:lang w:val="en-US"/>
        </w:rPr>
        <w:t>7) 59(339) Arizona L Rev 341ff</w:t>
      </w:r>
    </w:p>
    <w:p w14:paraId="24B27C49" w14:textId="77777777" w:rsidR="00503AD8" w:rsidRDefault="00503AD8" w:rsidP="005C1106">
      <w:pPr>
        <w:jc w:val="both"/>
        <w:rPr>
          <w:sz w:val="22"/>
          <w:szCs w:val="22"/>
          <w:lang w:val="en-US"/>
        </w:rPr>
      </w:pPr>
    </w:p>
    <w:p w14:paraId="6FB004EA" w14:textId="4238BB24" w:rsidR="002D2946" w:rsidRDefault="002D2946" w:rsidP="005C1106">
      <w:pPr>
        <w:jc w:val="both"/>
        <w:rPr>
          <w:sz w:val="22"/>
          <w:szCs w:val="22"/>
          <w:lang w:val="en-US"/>
        </w:rPr>
      </w:pPr>
      <w:r w:rsidRPr="00CF16E7">
        <w:rPr>
          <w:sz w:val="22"/>
          <w:szCs w:val="22"/>
        </w:rPr>
        <w:t xml:space="preserve">Ruffolo </w:t>
      </w:r>
      <w:r>
        <w:rPr>
          <w:sz w:val="22"/>
          <w:szCs w:val="22"/>
        </w:rPr>
        <w:t xml:space="preserve">U. </w:t>
      </w:r>
      <w:r w:rsidRPr="00CF16E7">
        <w:rPr>
          <w:sz w:val="22"/>
          <w:szCs w:val="22"/>
        </w:rPr>
        <w:t xml:space="preserve">(ed.), Class action ed azione collettiva inibitoria. </w:t>
      </w:r>
      <w:r w:rsidRPr="00694019">
        <w:rPr>
          <w:sz w:val="22"/>
          <w:szCs w:val="22"/>
          <w:lang w:val="en-US"/>
        </w:rPr>
        <w:t>Commento sistematico alla legge 12 aprile 201</w:t>
      </w:r>
      <w:r w:rsidR="00503AD8">
        <w:rPr>
          <w:sz w:val="22"/>
          <w:szCs w:val="22"/>
          <w:lang w:val="en-US"/>
        </w:rPr>
        <w:t>9, n. 31 (Giuffrè 2021)</w:t>
      </w:r>
    </w:p>
    <w:p w14:paraId="49725521" w14:textId="77777777" w:rsidR="00503AD8" w:rsidRPr="00694019" w:rsidRDefault="00503AD8" w:rsidP="005C1106">
      <w:pPr>
        <w:jc w:val="both"/>
        <w:rPr>
          <w:sz w:val="22"/>
          <w:szCs w:val="22"/>
          <w:lang w:val="en-US"/>
        </w:rPr>
      </w:pPr>
    </w:p>
    <w:p w14:paraId="4EB98609" w14:textId="40FA1278" w:rsidR="002D2946" w:rsidRDefault="002D2946" w:rsidP="005C1106">
      <w:pPr>
        <w:jc w:val="both"/>
        <w:rPr>
          <w:sz w:val="22"/>
          <w:szCs w:val="22"/>
        </w:rPr>
      </w:pPr>
      <w:r w:rsidRPr="00CF16E7">
        <w:rPr>
          <w:sz w:val="22"/>
          <w:szCs w:val="22"/>
          <w:lang w:val="en-US"/>
        </w:rPr>
        <w:t xml:space="preserve">Sassani </w:t>
      </w:r>
      <w:r>
        <w:rPr>
          <w:sz w:val="22"/>
          <w:szCs w:val="22"/>
          <w:lang w:val="en-US"/>
        </w:rPr>
        <w:t xml:space="preserve">B. </w:t>
      </w:r>
      <w:r w:rsidRPr="00CF16E7">
        <w:rPr>
          <w:sz w:val="22"/>
          <w:szCs w:val="22"/>
          <w:lang w:val="en-US"/>
        </w:rPr>
        <w:t xml:space="preserve">(ed.), Class action. </w:t>
      </w:r>
      <w:r w:rsidRPr="00CF16E7">
        <w:rPr>
          <w:sz w:val="22"/>
          <w:szCs w:val="22"/>
        </w:rPr>
        <w:t>Commento sistematico alla legge 12 aprile 2019,</w:t>
      </w:r>
      <w:r w:rsidR="00503AD8">
        <w:rPr>
          <w:sz w:val="22"/>
          <w:szCs w:val="22"/>
        </w:rPr>
        <w:t xml:space="preserve"> n. 31 (Pacini Giuridica 2019)</w:t>
      </w:r>
    </w:p>
    <w:p w14:paraId="08A1C473" w14:textId="77777777" w:rsidR="00503AD8" w:rsidRDefault="00503AD8" w:rsidP="005C1106">
      <w:pPr>
        <w:jc w:val="both"/>
        <w:rPr>
          <w:sz w:val="22"/>
          <w:szCs w:val="22"/>
        </w:rPr>
      </w:pPr>
    </w:p>
    <w:p w14:paraId="3E57D904" w14:textId="3E678673" w:rsidR="002D2946" w:rsidRDefault="002D2946" w:rsidP="005C1106">
      <w:pPr>
        <w:jc w:val="both"/>
        <w:rPr>
          <w:sz w:val="22"/>
          <w:szCs w:val="22"/>
          <w:lang w:val="en-US"/>
        </w:rPr>
      </w:pPr>
      <w:r w:rsidRPr="00CF16E7">
        <w:rPr>
          <w:sz w:val="22"/>
          <w:szCs w:val="22"/>
          <w:lang w:val="en-US"/>
        </w:rPr>
        <w:lastRenderedPageBreak/>
        <w:t>Scholten</w:t>
      </w:r>
      <w:r>
        <w:rPr>
          <w:sz w:val="22"/>
          <w:szCs w:val="22"/>
          <w:lang w:val="en-US"/>
        </w:rPr>
        <w:t xml:space="preserve"> M.</w:t>
      </w:r>
      <w:r w:rsidRPr="00CF16E7">
        <w:rPr>
          <w:sz w:val="22"/>
          <w:szCs w:val="22"/>
          <w:lang w:val="en-US"/>
        </w:rPr>
        <w:t>, ‘Shared Tasks, but Separated Controls: Building the System of Control for Shared Administration in an EU Multi-Jurisdictional Setting’ (2020) 10(3) E</w:t>
      </w:r>
      <w:r w:rsidR="00503AD8">
        <w:rPr>
          <w:sz w:val="22"/>
          <w:szCs w:val="22"/>
          <w:lang w:val="en-US"/>
        </w:rPr>
        <w:t>ur J of Risk Regulation 538-540</w:t>
      </w:r>
    </w:p>
    <w:p w14:paraId="1B239067" w14:textId="77777777" w:rsidR="00503AD8" w:rsidRPr="00CF16E7" w:rsidRDefault="00503AD8" w:rsidP="005C1106">
      <w:pPr>
        <w:jc w:val="both"/>
        <w:rPr>
          <w:sz w:val="22"/>
          <w:szCs w:val="22"/>
          <w:lang w:val="en-US"/>
        </w:rPr>
      </w:pPr>
    </w:p>
    <w:p w14:paraId="4B2D4ED0" w14:textId="3B1ED1F7" w:rsidR="002D2946" w:rsidRDefault="002D2946" w:rsidP="005C1106">
      <w:pPr>
        <w:jc w:val="both"/>
        <w:rPr>
          <w:sz w:val="22"/>
          <w:szCs w:val="22"/>
          <w:lang w:val="en-US"/>
        </w:rPr>
      </w:pPr>
      <w:r w:rsidRPr="00CF16E7">
        <w:rPr>
          <w:sz w:val="22"/>
          <w:szCs w:val="22"/>
          <w:lang w:val="en-US"/>
        </w:rPr>
        <w:t>Seidman</w:t>
      </w:r>
      <w:r>
        <w:rPr>
          <w:sz w:val="22"/>
          <w:szCs w:val="22"/>
          <w:lang w:val="en-US"/>
        </w:rPr>
        <w:t xml:space="preserve"> G. I.</w:t>
      </w:r>
      <w:r w:rsidRPr="00CF16E7">
        <w:rPr>
          <w:sz w:val="22"/>
          <w:szCs w:val="22"/>
          <w:lang w:val="en-US"/>
        </w:rPr>
        <w:t>, ‘Comparative Civil Procedure’ in Picker</w:t>
      </w:r>
      <w:r>
        <w:rPr>
          <w:sz w:val="22"/>
          <w:szCs w:val="22"/>
          <w:lang w:val="en-US"/>
        </w:rPr>
        <w:t xml:space="preserve"> C. B.</w:t>
      </w:r>
      <w:r w:rsidRPr="00CF16E7">
        <w:rPr>
          <w:sz w:val="22"/>
          <w:szCs w:val="22"/>
          <w:lang w:val="en-US"/>
        </w:rPr>
        <w:t xml:space="preserve"> and Seidman </w:t>
      </w:r>
      <w:r>
        <w:rPr>
          <w:sz w:val="22"/>
          <w:szCs w:val="22"/>
          <w:lang w:val="en-US"/>
        </w:rPr>
        <w:t xml:space="preserve">G. I. </w:t>
      </w:r>
      <w:r w:rsidRPr="00CF16E7">
        <w:rPr>
          <w:sz w:val="22"/>
          <w:szCs w:val="22"/>
          <w:lang w:val="en-US"/>
        </w:rPr>
        <w:t>(eds), The Dynamism of Civil Procedure - Global Trends and Development (Springer 2016, 8</w:t>
      </w:r>
      <w:r w:rsidR="00503AD8">
        <w:rPr>
          <w:sz w:val="22"/>
          <w:szCs w:val="22"/>
          <w:lang w:val="en-US"/>
        </w:rPr>
        <w:t>)</w:t>
      </w:r>
    </w:p>
    <w:p w14:paraId="2B8226FF" w14:textId="77777777" w:rsidR="00503AD8" w:rsidRDefault="00503AD8" w:rsidP="005C1106">
      <w:pPr>
        <w:jc w:val="both"/>
        <w:rPr>
          <w:sz w:val="22"/>
          <w:szCs w:val="22"/>
          <w:lang w:val="en-US"/>
        </w:rPr>
      </w:pPr>
    </w:p>
    <w:p w14:paraId="24354BAB" w14:textId="0B5C9220" w:rsidR="002D2946" w:rsidRDefault="002D2946" w:rsidP="005C1106">
      <w:pPr>
        <w:jc w:val="both"/>
        <w:rPr>
          <w:sz w:val="22"/>
          <w:szCs w:val="22"/>
        </w:rPr>
      </w:pPr>
      <w:r w:rsidRPr="00694019">
        <w:rPr>
          <w:sz w:val="22"/>
          <w:szCs w:val="22"/>
        </w:rPr>
        <w:t>Taruffo</w:t>
      </w:r>
      <w:r>
        <w:rPr>
          <w:sz w:val="22"/>
          <w:szCs w:val="22"/>
        </w:rPr>
        <w:t xml:space="preserve"> M.</w:t>
      </w:r>
      <w:r w:rsidRPr="00694019">
        <w:rPr>
          <w:sz w:val="22"/>
          <w:szCs w:val="22"/>
        </w:rPr>
        <w:t>, ‘“Collateral estoppel” e giudicato sulle questioni’, II (1972) 22 Rivi</w:t>
      </w:r>
      <w:r w:rsidR="00503AD8">
        <w:rPr>
          <w:sz w:val="22"/>
          <w:szCs w:val="22"/>
        </w:rPr>
        <w:t>sta di Diritto Processuale 272</w:t>
      </w:r>
    </w:p>
    <w:p w14:paraId="7A6838EB" w14:textId="77777777" w:rsidR="00503AD8" w:rsidRPr="00694019" w:rsidRDefault="00503AD8" w:rsidP="005C1106">
      <w:pPr>
        <w:jc w:val="both"/>
        <w:rPr>
          <w:sz w:val="22"/>
          <w:szCs w:val="22"/>
        </w:rPr>
      </w:pPr>
    </w:p>
    <w:p w14:paraId="2BA4AB40" w14:textId="77B8F241" w:rsidR="002D2946" w:rsidRDefault="002D2946" w:rsidP="005C1106">
      <w:pPr>
        <w:jc w:val="both"/>
        <w:rPr>
          <w:sz w:val="22"/>
          <w:szCs w:val="22"/>
          <w:lang w:val="en-US"/>
        </w:rPr>
      </w:pPr>
      <w:r w:rsidRPr="00467B24">
        <w:rPr>
          <w:sz w:val="22"/>
          <w:szCs w:val="22"/>
        </w:rPr>
        <w:t>Thobani</w:t>
      </w:r>
      <w:r>
        <w:rPr>
          <w:sz w:val="22"/>
          <w:szCs w:val="22"/>
        </w:rPr>
        <w:t xml:space="preserve"> S.</w:t>
      </w:r>
      <w:r w:rsidRPr="00467B24">
        <w:rPr>
          <w:sz w:val="22"/>
          <w:szCs w:val="22"/>
        </w:rPr>
        <w:t xml:space="preserve">, ‘Art. </w:t>
      </w:r>
      <w:r w:rsidRPr="00CF16E7">
        <w:rPr>
          <w:sz w:val="22"/>
          <w:szCs w:val="22"/>
        </w:rPr>
        <w:t xml:space="preserve">80 GDPR – Rappresentanza degli interessati’ in Vincenzo Barba and Stefano Pagliantini (eds), Commentario del Codice Civile diretto da Enrico Gabrielli, Delle Persone, Leggi collegate vol. </w:t>
      </w:r>
      <w:r w:rsidR="00503AD8">
        <w:rPr>
          <w:sz w:val="22"/>
          <w:szCs w:val="22"/>
          <w:lang w:val="en-US"/>
        </w:rPr>
        <w:t>II (UTET 2019) 1210</w:t>
      </w:r>
    </w:p>
    <w:p w14:paraId="3A8ABE72" w14:textId="77777777" w:rsidR="00503AD8" w:rsidRPr="00CF16E7" w:rsidRDefault="00503AD8" w:rsidP="005C1106">
      <w:pPr>
        <w:jc w:val="both"/>
        <w:rPr>
          <w:sz w:val="22"/>
          <w:szCs w:val="22"/>
          <w:lang w:val="en-US"/>
        </w:rPr>
      </w:pPr>
    </w:p>
    <w:p w14:paraId="674A7EB4" w14:textId="59110580" w:rsidR="002D2946" w:rsidRDefault="002D2946" w:rsidP="005C1106">
      <w:pPr>
        <w:jc w:val="both"/>
        <w:rPr>
          <w:sz w:val="22"/>
          <w:szCs w:val="22"/>
          <w:lang w:val="en-US"/>
        </w:rPr>
      </w:pPr>
      <w:r w:rsidRPr="00CF16E7">
        <w:rPr>
          <w:sz w:val="22"/>
          <w:szCs w:val="22"/>
          <w:lang w:val="en-US"/>
        </w:rPr>
        <w:t xml:space="preserve">Voigt </w:t>
      </w:r>
      <w:r>
        <w:rPr>
          <w:sz w:val="22"/>
          <w:szCs w:val="22"/>
          <w:lang w:val="en-US"/>
        </w:rPr>
        <w:t xml:space="preserve">P. </w:t>
      </w:r>
      <w:r w:rsidRPr="00CF16E7">
        <w:rPr>
          <w:sz w:val="22"/>
          <w:szCs w:val="22"/>
          <w:lang w:val="en-US"/>
        </w:rPr>
        <w:t>and von dem Bussche</w:t>
      </w:r>
      <w:r>
        <w:rPr>
          <w:sz w:val="22"/>
          <w:szCs w:val="22"/>
          <w:lang w:val="en-US"/>
        </w:rPr>
        <w:t xml:space="preserve"> A.</w:t>
      </w:r>
      <w:r w:rsidRPr="00CF16E7">
        <w:rPr>
          <w:sz w:val="22"/>
          <w:szCs w:val="22"/>
          <w:lang w:val="en-US"/>
        </w:rPr>
        <w:t>, The EU General Data Protection Regulation (GDPR). A practi</w:t>
      </w:r>
      <w:r w:rsidR="00503AD8">
        <w:rPr>
          <w:sz w:val="22"/>
          <w:szCs w:val="22"/>
          <w:lang w:val="en-US"/>
        </w:rPr>
        <w:t>cal guide (2017 Springer) 202ff</w:t>
      </w:r>
    </w:p>
    <w:p w14:paraId="689C8E6E" w14:textId="77777777" w:rsidR="00503AD8" w:rsidRPr="00CF16E7" w:rsidRDefault="00503AD8" w:rsidP="005C1106">
      <w:pPr>
        <w:jc w:val="both"/>
        <w:rPr>
          <w:sz w:val="22"/>
          <w:szCs w:val="22"/>
          <w:lang w:val="en-US"/>
        </w:rPr>
      </w:pPr>
    </w:p>
    <w:p w14:paraId="2FEBB208" w14:textId="2CF07428" w:rsidR="002D2946" w:rsidRDefault="002D2946" w:rsidP="005C1106">
      <w:pPr>
        <w:jc w:val="both"/>
        <w:rPr>
          <w:sz w:val="22"/>
          <w:szCs w:val="22"/>
          <w:lang w:val="en-US"/>
        </w:rPr>
      </w:pPr>
      <w:r w:rsidRPr="00FB7D59">
        <w:rPr>
          <w:sz w:val="22"/>
          <w:szCs w:val="22"/>
          <w:lang w:val="en-US"/>
        </w:rPr>
        <w:t>Zarsky</w:t>
      </w:r>
      <w:r>
        <w:rPr>
          <w:sz w:val="22"/>
          <w:szCs w:val="22"/>
          <w:lang w:val="en-US"/>
        </w:rPr>
        <w:t xml:space="preserve"> T.</w:t>
      </w:r>
      <w:r w:rsidRPr="00FB7D59">
        <w:rPr>
          <w:sz w:val="22"/>
          <w:szCs w:val="22"/>
          <w:lang w:val="en-US"/>
        </w:rPr>
        <w:t>, ‘”Mine your own business!” Making the case for the implications of the data mining of personal information in the forum of public opinion’ (2</w:t>
      </w:r>
      <w:r w:rsidR="00503AD8">
        <w:rPr>
          <w:sz w:val="22"/>
          <w:szCs w:val="22"/>
          <w:lang w:val="en-US"/>
        </w:rPr>
        <w:t>003) 1 Yale J of L and Tech 6-7</w:t>
      </w:r>
    </w:p>
    <w:p w14:paraId="717EEA53" w14:textId="77777777" w:rsidR="00503AD8" w:rsidRDefault="00503AD8" w:rsidP="005C1106">
      <w:pPr>
        <w:jc w:val="both"/>
        <w:rPr>
          <w:sz w:val="22"/>
          <w:szCs w:val="22"/>
          <w:lang w:val="en-US"/>
        </w:rPr>
      </w:pPr>
    </w:p>
    <w:p w14:paraId="0019B34E" w14:textId="128D5293" w:rsidR="002D2946" w:rsidRPr="00CF16E7" w:rsidRDefault="00503AD8" w:rsidP="005C1106">
      <w:pPr>
        <w:jc w:val="both"/>
        <w:rPr>
          <w:sz w:val="22"/>
          <w:szCs w:val="22"/>
          <w:lang w:val="en-US"/>
        </w:rPr>
      </w:pPr>
      <w:r>
        <w:rPr>
          <w:sz w:val="22"/>
          <w:szCs w:val="22"/>
          <w:lang w:val="en-US"/>
        </w:rPr>
        <w:t>-- --</w:t>
      </w:r>
      <w:r w:rsidR="002D2946" w:rsidRPr="00CF16E7">
        <w:rPr>
          <w:sz w:val="22"/>
          <w:szCs w:val="22"/>
          <w:lang w:val="en-US"/>
        </w:rPr>
        <w:t xml:space="preserve"> ‘Incompatible: The GDPR in the Age of Big Data’ (2017) 47(995) Seton Hall L Rev 995ff.</w:t>
      </w:r>
    </w:p>
    <w:p w14:paraId="75005501" w14:textId="3101C460" w:rsidR="002D2946" w:rsidRDefault="002D2946" w:rsidP="005C1106">
      <w:pPr>
        <w:jc w:val="both"/>
        <w:rPr>
          <w:sz w:val="22"/>
          <w:szCs w:val="22"/>
          <w:lang w:val="en-US"/>
        </w:rPr>
      </w:pPr>
      <w:r w:rsidRPr="00FB7D59">
        <w:rPr>
          <w:sz w:val="22"/>
          <w:szCs w:val="22"/>
          <w:lang w:val="en-US"/>
        </w:rPr>
        <w:t>Zech</w:t>
      </w:r>
      <w:r>
        <w:rPr>
          <w:sz w:val="22"/>
          <w:szCs w:val="22"/>
          <w:lang w:val="en-US"/>
        </w:rPr>
        <w:t xml:space="preserve"> H.</w:t>
      </w:r>
      <w:r w:rsidRPr="00FB7D59">
        <w:rPr>
          <w:sz w:val="22"/>
          <w:szCs w:val="22"/>
          <w:lang w:val="en-US"/>
        </w:rPr>
        <w:t>, ‘Data as Tradeable Commodity – Implications for Contract Law’ in Josef Drexl (ed), Proceedings of the 18th EIPIN Congress: The New Data Economy between Data Ownership, Privacy and Safeguarding Competition</w:t>
      </w:r>
      <w:r w:rsidR="00503AD8">
        <w:rPr>
          <w:sz w:val="22"/>
          <w:szCs w:val="22"/>
          <w:lang w:val="en-US"/>
        </w:rPr>
        <w:t xml:space="preserve"> (Edward Elgar Publishing 2017)</w:t>
      </w:r>
    </w:p>
    <w:p w14:paraId="706D1081" w14:textId="77777777" w:rsidR="00FD0175" w:rsidRDefault="00FD0175" w:rsidP="005C1106">
      <w:pPr>
        <w:jc w:val="both"/>
        <w:rPr>
          <w:sz w:val="22"/>
          <w:szCs w:val="22"/>
          <w:lang w:val="en-US"/>
        </w:rPr>
      </w:pPr>
    </w:p>
    <w:p w14:paraId="231F2777" w14:textId="0B91AD77" w:rsidR="00FD0175" w:rsidRPr="00FD0175" w:rsidRDefault="00FD0175" w:rsidP="005C1106">
      <w:pPr>
        <w:jc w:val="both"/>
        <w:rPr>
          <w:sz w:val="22"/>
          <w:szCs w:val="22"/>
        </w:rPr>
      </w:pPr>
      <w:r w:rsidRPr="00FD0175">
        <w:rPr>
          <w:sz w:val="22"/>
          <w:szCs w:val="22"/>
          <w:lang w:val="en-US"/>
        </w:rPr>
        <w:t xml:space="preserve">Zeno-Zencovich </w:t>
      </w:r>
      <w:r>
        <w:rPr>
          <w:sz w:val="22"/>
          <w:szCs w:val="22"/>
          <w:lang w:val="en-US"/>
        </w:rPr>
        <w:t xml:space="preserve">V., </w:t>
      </w:r>
      <w:r w:rsidRPr="00FB7D59">
        <w:rPr>
          <w:sz w:val="22"/>
          <w:szCs w:val="22"/>
          <w:lang w:val="en-US"/>
        </w:rPr>
        <w:t xml:space="preserve">‘Do “Data Markets” </w:t>
      </w:r>
      <w:r>
        <w:rPr>
          <w:sz w:val="22"/>
          <w:szCs w:val="22"/>
          <w:lang w:val="en-US"/>
        </w:rPr>
        <w:t xml:space="preserve">Exist?’ </w:t>
      </w:r>
      <w:r w:rsidRPr="00FD0175">
        <w:rPr>
          <w:sz w:val="22"/>
          <w:szCs w:val="22"/>
        </w:rPr>
        <w:t>(2019) 2 MediaLaws 22ff</w:t>
      </w:r>
    </w:p>
    <w:p w14:paraId="31E4C90D" w14:textId="77777777" w:rsidR="00503AD8" w:rsidRPr="00FD0175" w:rsidRDefault="00503AD8" w:rsidP="005C1106">
      <w:pPr>
        <w:jc w:val="both"/>
        <w:rPr>
          <w:sz w:val="22"/>
          <w:szCs w:val="22"/>
        </w:rPr>
      </w:pPr>
    </w:p>
    <w:p w14:paraId="28CA04DF" w14:textId="32EDC9E7" w:rsidR="002D2946" w:rsidRDefault="00FD0175" w:rsidP="005C1106">
      <w:pPr>
        <w:jc w:val="both"/>
        <w:rPr>
          <w:sz w:val="22"/>
          <w:szCs w:val="22"/>
        </w:rPr>
      </w:pPr>
      <w:r>
        <w:rPr>
          <w:sz w:val="22"/>
          <w:szCs w:val="22"/>
        </w:rPr>
        <w:t>-- --</w:t>
      </w:r>
      <w:r w:rsidR="002D2946" w:rsidRPr="00F30EDC">
        <w:rPr>
          <w:sz w:val="22"/>
          <w:szCs w:val="22"/>
        </w:rPr>
        <w:t xml:space="preserve"> and </w:t>
      </w:r>
      <w:r w:rsidR="002D2946">
        <w:rPr>
          <w:sz w:val="22"/>
          <w:szCs w:val="22"/>
        </w:rPr>
        <w:t>Paglietti M.C.,</w:t>
      </w:r>
      <w:r w:rsidR="002D2946" w:rsidRPr="00F30EDC">
        <w:rPr>
          <w:sz w:val="22"/>
          <w:szCs w:val="22"/>
        </w:rPr>
        <w:t xml:space="preserve"> Diritto processuale dei con</w:t>
      </w:r>
      <w:r w:rsidR="00503AD8">
        <w:rPr>
          <w:sz w:val="22"/>
          <w:szCs w:val="22"/>
        </w:rPr>
        <w:t>sumatori (Egea 2009)</w:t>
      </w:r>
    </w:p>
    <w:p w14:paraId="4B82CEC9" w14:textId="77777777" w:rsidR="00503AD8" w:rsidRPr="00FD0175" w:rsidRDefault="00503AD8" w:rsidP="005C1106">
      <w:pPr>
        <w:jc w:val="both"/>
        <w:rPr>
          <w:sz w:val="22"/>
          <w:szCs w:val="22"/>
        </w:rPr>
      </w:pPr>
    </w:p>
    <w:p w14:paraId="7E60AEFD" w14:textId="77777777" w:rsidR="002D2946" w:rsidRDefault="002D2946" w:rsidP="005C1106">
      <w:pPr>
        <w:jc w:val="both"/>
        <w:rPr>
          <w:sz w:val="22"/>
          <w:szCs w:val="22"/>
          <w:lang w:val="en-US"/>
        </w:rPr>
      </w:pPr>
      <w:r w:rsidRPr="00FB7D59">
        <w:rPr>
          <w:sz w:val="22"/>
          <w:szCs w:val="22"/>
          <w:lang w:val="en-US"/>
        </w:rPr>
        <w:t>Zikopoulos</w:t>
      </w:r>
      <w:r>
        <w:rPr>
          <w:sz w:val="22"/>
          <w:szCs w:val="22"/>
          <w:lang w:val="en-US"/>
        </w:rPr>
        <w:t xml:space="preserve"> P.C., </w:t>
      </w:r>
      <w:r w:rsidRPr="00FB7D59">
        <w:rPr>
          <w:sz w:val="22"/>
          <w:szCs w:val="22"/>
          <w:lang w:val="en-US"/>
        </w:rPr>
        <w:t>Deroos</w:t>
      </w:r>
      <w:r>
        <w:rPr>
          <w:sz w:val="22"/>
          <w:szCs w:val="22"/>
          <w:lang w:val="en-US"/>
        </w:rPr>
        <w:t xml:space="preserve"> D.</w:t>
      </w:r>
      <w:r w:rsidRPr="00FB7D59">
        <w:rPr>
          <w:sz w:val="22"/>
          <w:szCs w:val="22"/>
          <w:lang w:val="en-US"/>
        </w:rPr>
        <w:t xml:space="preserve">, Deutsch </w:t>
      </w:r>
      <w:r>
        <w:rPr>
          <w:sz w:val="22"/>
          <w:szCs w:val="22"/>
          <w:lang w:val="en-US"/>
        </w:rPr>
        <w:t xml:space="preserve">T., Eaton C. and </w:t>
      </w:r>
      <w:r w:rsidRPr="00FB7D59">
        <w:rPr>
          <w:sz w:val="22"/>
          <w:szCs w:val="22"/>
          <w:lang w:val="en-US"/>
        </w:rPr>
        <w:t>Lapis</w:t>
      </w:r>
      <w:r>
        <w:rPr>
          <w:sz w:val="22"/>
          <w:szCs w:val="22"/>
          <w:lang w:val="en-US"/>
        </w:rPr>
        <w:t xml:space="preserve"> G.</w:t>
      </w:r>
      <w:r w:rsidRPr="00FB7D59">
        <w:rPr>
          <w:sz w:val="22"/>
          <w:szCs w:val="22"/>
          <w:lang w:val="en-US"/>
        </w:rPr>
        <w:t>, Understanding Big Dat</w:t>
      </w:r>
      <w:r>
        <w:rPr>
          <w:sz w:val="22"/>
          <w:szCs w:val="22"/>
          <w:lang w:val="en-US"/>
        </w:rPr>
        <w:t>a (McGraw Hill Education 2012)</w:t>
      </w:r>
    </w:p>
    <w:p w14:paraId="538A17F6" w14:textId="77777777" w:rsidR="0011646C" w:rsidRPr="0011646C" w:rsidRDefault="0011646C" w:rsidP="005C1106">
      <w:pPr>
        <w:jc w:val="both"/>
        <w:rPr>
          <w:sz w:val="22"/>
          <w:szCs w:val="22"/>
          <w:lang w:val="en-US"/>
        </w:rPr>
      </w:pPr>
    </w:p>
    <w:p w14:paraId="401DF62B" w14:textId="77777777" w:rsidR="0011646C" w:rsidRDefault="0011646C" w:rsidP="005C1106">
      <w:pPr>
        <w:jc w:val="both"/>
        <w:rPr>
          <w:b/>
          <w:sz w:val="22"/>
          <w:szCs w:val="22"/>
          <w:lang w:val="en-US"/>
        </w:rPr>
      </w:pPr>
    </w:p>
    <w:p w14:paraId="668A0CFF" w14:textId="4C4D5DB9" w:rsidR="00FB7D59" w:rsidRPr="00FB7D59" w:rsidRDefault="00FB7D59" w:rsidP="005C1106">
      <w:pPr>
        <w:jc w:val="both"/>
        <w:rPr>
          <w:sz w:val="22"/>
          <w:szCs w:val="22"/>
          <w:lang w:val="en-US"/>
        </w:rPr>
      </w:pPr>
    </w:p>
    <w:p w14:paraId="5921880C" w14:textId="0FFA7556" w:rsidR="00FB7D59" w:rsidRPr="00FB7D59" w:rsidRDefault="00FB7D59" w:rsidP="005C1106">
      <w:pPr>
        <w:jc w:val="both"/>
        <w:rPr>
          <w:sz w:val="22"/>
          <w:szCs w:val="22"/>
          <w:lang w:val="en-US"/>
        </w:rPr>
      </w:pPr>
      <w:r w:rsidRPr="00FB7D59">
        <w:rPr>
          <w:sz w:val="22"/>
          <w:szCs w:val="22"/>
          <w:lang w:val="en-US"/>
        </w:rPr>
        <w:t xml:space="preserve">  </w:t>
      </w:r>
    </w:p>
    <w:p w14:paraId="345F10B4" w14:textId="77777777" w:rsidR="008F1187" w:rsidRPr="008F1187" w:rsidRDefault="008F1187" w:rsidP="005C1106">
      <w:pPr>
        <w:jc w:val="both"/>
        <w:rPr>
          <w:sz w:val="22"/>
          <w:szCs w:val="22"/>
          <w:lang w:val="en-US"/>
        </w:rPr>
      </w:pPr>
    </w:p>
    <w:sectPr w:rsidR="008F1187" w:rsidRPr="008F1187" w:rsidSect="000A5E13">
      <w:headerReference w:type="even" r:id="rId12"/>
      <w:headerReference w:type="default" r:id="rId13"/>
      <w:footerReference w:type="even" r:id="rId14"/>
      <w:footerReference w:type="default" r:id="rId15"/>
      <w:headerReference w:type="first" r:id="rId16"/>
      <w:footerReference w:type="first" r:id="rId17"/>
      <w:pgSz w:w="11900" w:h="16840"/>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3530A" w14:textId="77777777" w:rsidR="00B748CA" w:rsidRDefault="00B748CA" w:rsidP="00047923">
      <w:r>
        <w:separator/>
      </w:r>
    </w:p>
  </w:endnote>
  <w:endnote w:type="continuationSeparator" w:id="0">
    <w:p w14:paraId="0B1CD2FC" w14:textId="77777777" w:rsidR="00B748CA" w:rsidRDefault="00B748CA" w:rsidP="0004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85AED" w14:textId="77777777" w:rsidR="00467B24" w:rsidRDefault="00467B24" w:rsidP="008B3CFB">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76A6C44" w14:textId="77777777" w:rsidR="00467B24" w:rsidRDefault="00467B24" w:rsidP="001D21C2">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3366A" w14:textId="1399CA05" w:rsidR="00467B24" w:rsidRPr="00131192" w:rsidRDefault="00467B24" w:rsidP="001D21C2">
    <w:pPr>
      <w:pStyle w:val="Pidipagina"/>
      <w:ind w:right="360"/>
      <w:rPr>
        <w:lang w:val="en-US"/>
      </w:rPr>
    </w:pPr>
  </w:p>
  <w:p w14:paraId="3AAE1146" w14:textId="77777777" w:rsidR="00467B24" w:rsidRPr="00131192" w:rsidRDefault="00467B24">
    <w:pPr>
      <w:pStyle w:val="Pidipagina"/>
      <w:rPr>
        <w:lang w:val="en-US"/>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4677C" w14:textId="7676B2B3" w:rsidR="00467B24" w:rsidRPr="005B40AA" w:rsidRDefault="00467B24" w:rsidP="005B40AA">
    <w:pPr>
      <w:pStyle w:val="Pidipagina"/>
      <w:framePr w:wrap="none" w:vAnchor="text" w:hAnchor="margin" w:y="1"/>
      <w:jc w:val="both"/>
      <w:rPr>
        <w:lang w:val="en-US"/>
      </w:rPr>
    </w:pPr>
    <w:r w:rsidRPr="005B40AA">
      <w:rPr>
        <w:rStyle w:val="Numeropagina"/>
        <w:lang w:val="en-US"/>
      </w:rPr>
      <w:t xml:space="preserve">*Marina Federico is a doctoral student in </w:t>
    </w:r>
    <w:r w:rsidRPr="009D5A9B">
      <w:rPr>
        <w:rStyle w:val="Numeropagina"/>
        <w:i/>
        <w:lang w:val="en-US"/>
      </w:rPr>
      <w:t>Law, Market and Person</w:t>
    </w:r>
    <w:r>
      <w:rPr>
        <w:rStyle w:val="Numeropagina"/>
        <w:lang w:val="en-US"/>
      </w:rPr>
      <w:t xml:space="preserve"> </w:t>
    </w:r>
    <w:r w:rsidRPr="005B40AA">
      <w:rPr>
        <w:rStyle w:val="Numeropagina"/>
        <w:lang w:val="en-US"/>
      </w:rPr>
      <w:t>at Ca’ Foscari University of Venice</w:t>
    </w:r>
    <w:r>
      <w:rPr>
        <w:rStyle w:val="Numeropagina"/>
        <w:lang w:val="en-US"/>
      </w:rPr>
      <w:t xml:space="preserve">. Her Ph.D. scholarship is linked to: “Big data and fundamental rights”. E-mail: </w:t>
    </w:r>
    <w:hyperlink r:id="rId1" w:history="1">
      <w:r w:rsidRPr="00431B5F">
        <w:rPr>
          <w:rStyle w:val="Collegamentoipertestuale"/>
          <w:lang w:val="en-US"/>
        </w:rPr>
        <w:t>marina.federico@unive.it</w:t>
      </w:r>
    </w:hyperlink>
    <w:r>
      <w:rPr>
        <w:rStyle w:val="Numeropagina"/>
        <w:lang w:val="en-US"/>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496C8" w14:textId="77777777" w:rsidR="00B748CA" w:rsidRDefault="00B748CA" w:rsidP="00047923">
      <w:r>
        <w:separator/>
      </w:r>
    </w:p>
  </w:footnote>
  <w:footnote w:type="continuationSeparator" w:id="0">
    <w:p w14:paraId="07E6CBC1" w14:textId="77777777" w:rsidR="00B748CA" w:rsidRDefault="00B748CA" w:rsidP="00047923">
      <w:r>
        <w:continuationSeparator/>
      </w:r>
    </w:p>
  </w:footnote>
  <w:footnote w:id="1">
    <w:p w14:paraId="27129CA6" w14:textId="6173D367" w:rsidR="00467B24" w:rsidRPr="00F10894" w:rsidRDefault="00467B24" w:rsidP="0056073B">
      <w:pPr>
        <w:pStyle w:val="Testonotaapidipagina"/>
        <w:spacing w:line="276" w:lineRule="auto"/>
        <w:jc w:val="both"/>
        <w:rPr>
          <w:sz w:val="18"/>
          <w:szCs w:val="18"/>
          <w:lang w:val="en-US"/>
        </w:rPr>
      </w:pPr>
      <w:r w:rsidRPr="00F10894">
        <w:rPr>
          <w:rStyle w:val="Rimandonotaapidipagina"/>
          <w:sz w:val="18"/>
          <w:szCs w:val="18"/>
        </w:rPr>
        <w:footnoteRef/>
      </w:r>
      <w:r w:rsidRPr="00F10894">
        <w:rPr>
          <w:sz w:val="18"/>
          <w:szCs w:val="18"/>
          <w:lang w:val="en-US"/>
        </w:rPr>
        <w:t xml:space="preserve"> Infor</w:t>
      </w:r>
      <w:r>
        <w:rPr>
          <w:sz w:val="18"/>
          <w:szCs w:val="18"/>
          <w:lang w:val="en-US"/>
        </w:rPr>
        <w:t>mational Capitalism refers to: ‘</w:t>
      </w:r>
      <w:r w:rsidRPr="00F10894">
        <w:rPr>
          <w:sz w:val="18"/>
          <w:szCs w:val="18"/>
          <w:lang w:val="en-US"/>
        </w:rPr>
        <w:t xml:space="preserve">the alignment of capitalism as a mode of production with informationalism as a mode </w:t>
      </w:r>
      <w:r>
        <w:rPr>
          <w:sz w:val="18"/>
          <w:szCs w:val="18"/>
          <w:lang w:val="en-US"/>
        </w:rPr>
        <w:t xml:space="preserve">of development. […] Capitalism </w:t>
      </w:r>
      <w:r w:rsidRPr="00F10894">
        <w:rPr>
          <w:sz w:val="18"/>
          <w:szCs w:val="18"/>
          <w:lang w:val="en-US"/>
        </w:rPr>
        <w:t>is oriented toward profit- maximizing, that is, toward increasing the amount of surplus appropriated by capital on the basis of the private control over the mean</w:t>
      </w:r>
      <w:r>
        <w:rPr>
          <w:sz w:val="18"/>
          <w:szCs w:val="18"/>
          <w:lang w:val="en-US"/>
        </w:rPr>
        <w:t xml:space="preserve">s of production and circulation, while informationalism </w:t>
      </w:r>
      <w:r w:rsidRPr="00F10894">
        <w:rPr>
          <w:sz w:val="18"/>
          <w:szCs w:val="18"/>
          <w:lang w:val="en-US"/>
        </w:rPr>
        <w:t>is oriented toward accumulation of knowledge and towards higher levels of compl</w:t>
      </w:r>
      <w:r>
        <w:rPr>
          <w:sz w:val="18"/>
          <w:szCs w:val="18"/>
          <w:lang w:val="en-US"/>
        </w:rPr>
        <w:t>exity in information processing</w:t>
      </w:r>
      <w:r w:rsidRPr="00F10894">
        <w:rPr>
          <w:sz w:val="18"/>
          <w:szCs w:val="18"/>
          <w:lang w:val="en-US"/>
        </w:rPr>
        <w:t>.</w:t>
      </w:r>
      <w:r>
        <w:rPr>
          <w:sz w:val="18"/>
          <w:szCs w:val="18"/>
          <w:lang w:val="en-US"/>
        </w:rPr>
        <w:t>’</w:t>
      </w:r>
      <w:r w:rsidRPr="00F10894">
        <w:rPr>
          <w:sz w:val="18"/>
          <w:szCs w:val="18"/>
          <w:lang w:val="en-US"/>
        </w:rPr>
        <w:t xml:space="preserve"> In a regime of informational capitalism, market actors use knowledge, culture, and networked information technologies as means of extracting and appropriating surplus value, inclu</w:t>
      </w:r>
      <w:r>
        <w:rPr>
          <w:sz w:val="18"/>
          <w:szCs w:val="18"/>
          <w:lang w:val="en-US"/>
        </w:rPr>
        <w:t>ding consumer surplus. Julie Cohen</w:t>
      </w:r>
      <w:r w:rsidRPr="00F10894">
        <w:rPr>
          <w:sz w:val="18"/>
          <w:szCs w:val="18"/>
          <w:lang w:val="en-US"/>
        </w:rPr>
        <w:t xml:space="preserve">, </w:t>
      </w:r>
      <w:r w:rsidRPr="00F10894">
        <w:rPr>
          <w:i/>
          <w:sz w:val="18"/>
          <w:szCs w:val="18"/>
          <w:lang w:val="en-US"/>
        </w:rPr>
        <w:t>Between Truth and Power. The Legal Constructi</w:t>
      </w:r>
      <w:r>
        <w:rPr>
          <w:i/>
          <w:sz w:val="18"/>
          <w:szCs w:val="18"/>
          <w:lang w:val="en-US"/>
        </w:rPr>
        <w:t xml:space="preserve">ons of Informational Capitalism </w:t>
      </w:r>
      <w:r>
        <w:rPr>
          <w:sz w:val="18"/>
          <w:szCs w:val="18"/>
          <w:lang w:val="en-US"/>
        </w:rPr>
        <w:t xml:space="preserve">(OUP 2019) </w:t>
      </w:r>
      <w:r w:rsidRPr="00F10894">
        <w:rPr>
          <w:sz w:val="18"/>
          <w:szCs w:val="18"/>
          <w:lang w:val="en-US"/>
        </w:rPr>
        <w:t>5-6.</w:t>
      </w:r>
    </w:p>
  </w:footnote>
  <w:footnote w:id="2">
    <w:p w14:paraId="4CD9A19B" w14:textId="3CACAE7C" w:rsidR="00467B24" w:rsidRPr="00F10894" w:rsidRDefault="00467B24" w:rsidP="00F10894">
      <w:pPr>
        <w:pStyle w:val="Testonotaapidipagina"/>
        <w:spacing w:line="276" w:lineRule="auto"/>
        <w:jc w:val="both"/>
        <w:rPr>
          <w:sz w:val="18"/>
          <w:szCs w:val="18"/>
          <w:lang w:val="en-US"/>
        </w:rPr>
      </w:pPr>
      <w:r w:rsidRPr="00F10894">
        <w:rPr>
          <w:rStyle w:val="Rimandonotaapidipagina"/>
          <w:sz w:val="18"/>
          <w:szCs w:val="18"/>
        </w:rPr>
        <w:footnoteRef/>
      </w:r>
      <w:r>
        <w:rPr>
          <w:sz w:val="18"/>
          <w:szCs w:val="18"/>
          <w:lang w:val="en-US"/>
        </w:rPr>
        <w:t xml:space="preserve"> As famously </w:t>
      </w:r>
      <w:r w:rsidRPr="00F10894">
        <w:rPr>
          <w:sz w:val="18"/>
          <w:szCs w:val="18"/>
          <w:lang w:val="en-US"/>
        </w:rPr>
        <w:t>stated by the British mathematician Clive Humby, in 2006.</w:t>
      </w:r>
    </w:p>
  </w:footnote>
  <w:footnote w:id="3">
    <w:p w14:paraId="1FA52D15" w14:textId="2753A34E" w:rsidR="00467B24" w:rsidRPr="00F10894" w:rsidRDefault="00467B24" w:rsidP="0056073B">
      <w:pPr>
        <w:pStyle w:val="Testonotaapidipagina"/>
        <w:spacing w:line="276" w:lineRule="auto"/>
        <w:jc w:val="both"/>
        <w:rPr>
          <w:sz w:val="18"/>
          <w:szCs w:val="18"/>
          <w:lang w:val="en-US"/>
        </w:rPr>
      </w:pPr>
      <w:r w:rsidRPr="00F10894">
        <w:rPr>
          <w:rStyle w:val="Rimandonotaapidipagina"/>
          <w:sz w:val="18"/>
          <w:szCs w:val="18"/>
        </w:rPr>
        <w:footnoteRef/>
      </w:r>
      <w:r>
        <w:rPr>
          <w:sz w:val="18"/>
          <w:szCs w:val="18"/>
          <w:lang w:val="en-US"/>
        </w:rPr>
        <w:t xml:space="preserve"> Herbert Zech</w:t>
      </w:r>
      <w:r w:rsidRPr="00F10894">
        <w:rPr>
          <w:sz w:val="18"/>
          <w:szCs w:val="18"/>
          <w:lang w:val="en-US"/>
        </w:rPr>
        <w:t xml:space="preserve">, </w:t>
      </w:r>
      <w:r>
        <w:rPr>
          <w:sz w:val="18"/>
          <w:szCs w:val="18"/>
          <w:lang w:val="en-US"/>
        </w:rPr>
        <w:t>‘</w:t>
      </w:r>
      <w:r w:rsidRPr="00AB7E15">
        <w:rPr>
          <w:sz w:val="18"/>
          <w:szCs w:val="18"/>
          <w:lang w:val="en-US"/>
        </w:rPr>
        <w:t>Data as Tradeable Commodity – Implications for Contract Law</w:t>
      </w:r>
      <w:r>
        <w:rPr>
          <w:sz w:val="18"/>
          <w:szCs w:val="18"/>
          <w:lang w:val="en-US"/>
        </w:rPr>
        <w:t xml:space="preserve">’ </w:t>
      </w:r>
      <w:r w:rsidRPr="00F10894">
        <w:rPr>
          <w:sz w:val="18"/>
          <w:szCs w:val="18"/>
          <w:lang w:val="en-US"/>
        </w:rPr>
        <w:t>in</w:t>
      </w:r>
      <w:r>
        <w:rPr>
          <w:sz w:val="18"/>
          <w:szCs w:val="18"/>
          <w:lang w:val="en-US"/>
        </w:rPr>
        <w:t xml:space="preserve"> Josef Drexl (ed</w:t>
      </w:r>
      <w:r w:rsidRPr="00F10894">
        <w:rPr>
          <w:sz w:val="18"/>
          <w:szCs w:val="18"/>
          <w:lang w:val="en-US"/>
        </w:rPr>
        <w:t xml:space="preserve">), </w:t>
      </w:r>
      <w:r w:rsidRPr="008478FD">
        <w:rPr>
          <w:i/>
          <w:sz w:val="18"/>
          <w:szCs w:val="18"/>
          <w:lang w:val="en-US"/>
        </w:rPr>
        <w:t>Proceedings of the 18th EIPIN Congress: The New Data Economy between Data Ownership, Privacy and Safeguarding Competition</w:t>
      </w:r>
      <w:r>
        <w:rPr>
          <w:sz w:val="18"/>
          <w:szCs w:val="18"/>
          <w:lang w:val="en-US"/>
        </w:rPr>
        <w:t xml:space="preserve"> (E</w:t>
      </w:r>
      <w:r w:rsidRPr="00F10894">
        <w:rPr>
          <w:sz w:val="18"/>
          <w:szCs w:val="18"/>
          <w:lang w:val="en-US"/>
        </w:rPr>
        <w:t>dward El</w:t>
      </w:r>
      <w:r>
        <w:rPr>
          <w:sz w:val="18"/>
          <w:szCs w:val="18"/>
          <w:lang w:val="en-US"/>
        </w:rPr>
        <w:t>gar Publishing 2017).</w:t>
      </w:r>
    </w:p>
  </w:footnote>
  <w:footnote w:id="4">
    <w:p w14:paraId="57FB9DF0" w14:textId="6C50EC3C" w:rsidR="00467B24" w:rsidRPr="00F10894" w:rsidRDefault="00467B24" w:rsidP="0056073B">
      <w:pPr>
        <w:pStyle w:val="Testonotaapidipagina"/>
        <w:spacing w:line="276" w:lineRule="auto"/>
        <w:jc w:val="both"/>
        <w:rPr>
          <w:sz w:val="18"/>
          <w:szCs w:val="18"/>
          <w:lang w:val="en-US"/>
        </w:rPr>
      </w:pPr>
      <w:r w:rsidRPr="0063592B">
        <w:rPr>
          <w:rStyle w:val="Rimandonotaapidipagina"/>
          <w:sz w:val="18"/>
          <w:szCs w:val="18"/>
        </w:rPr>
        <w:footnoteRef/>
      </w:r>
      <w:r>
        <w:rPr>
          <w:sz w:val="18"/>
          <w:szCs w:val="18"/>
          <w:lang w:val="en-US"/>
        </w:rPr>
        <w:t xml:space="preserve"> Daniel L. Rubinfeld and </w:t>
      </w:r>
      <w:r w:rsidRPr="0063592B">
        <w:rPr>
          <w:sz w:val="18"/>
          <w:szCs w:val="18"/>
          <w:lang w:val="en-US"/>
        </w:rPr>
        <w:t>Michael S. Gal, ‘Access Barriers to Big Data</w:t>
      </w:r>
      <w:r>
        <w:rPr>
          <w:sz w:val="18"/>
          <w:szCs w:val="18"/>
          <w:lang w:val="en-US"/>
        </w:rPr>
        <w:t>’ (2017)</w:t>
      </w:r>
      <w:r w:rsidRPr="0063592B">
        <w:rPr>
          <w:sz w:val="18"/>
          <w:szCs w:val="18"/>
          <w:lang w:val="en-US"/>
        </w:rPr>
        <w:t xml:space="preserve"> 59(339) Arizona L Rev</w:t>
      </w:r>
      <w:r>
        <w:rPr>
          <w:sz w:val="18"/>
          <w:szCs w:val="18"/>
          <w:lang w:val="en-US"/>
        </w:rPr>
        <w:t xml:space="preserve"> </w:t>
      </w:r>
      <w:r w:rsidRPr="0063592B">
        <w:rPr>
          <w:sz w:val="18"/>
          <w:szCs w:val="18"/>
          <w:lang w:val="en-US"/>
        </w:rPr>
        <w:t>341</w:t>
      </w:r>
      <w:r>
        <w:rPr>
          <w:sz w:val="18"/>
          <w:szCs w:val="18"/>
          <w:lang w:val="en-US"/>
        </w:rPr>
        <w:t>ff</w:t>
      </w:r>
      <w:r w:rsidRPr="0063592B">
        <w:rPr>
          <w:sz w:val="18"/>
          <w:szCs w:val="18"/>
          <w:lang w:val="en-US"/>
        </w:rPr>
        <w:t>.</w:t>
      </w:r>
      <w:r>
        <w:rPr>
          <w:sz w:val="18"/>
          <w:szCs w:val="18"/>
          <w:lang w:val="en-US"/>
        </w:rPr>
        <w:t xml:space="preserve"> See also Paul C. Zikopoulos, Chris Eaton, Dirk Deroos, Thomas Deutsch and George Lapis, </w:t>
      </w:r>
      <w:r w:rsidRPr="00773418">
        <w:rPr>
          <w:i/>
          <w:sz w:val="18"/>
          <w:szCs w:val="18"/>
          <w:lang w:val="en-US"/>
        </w:rPr>
        <w:t>Understanding Big Data</w:t>
      </w:r>
      <w:r>
        <w:rPr>
          <w:sz w:val="18"/>
          <w:szCs w:val="18"/>
          <w:lang w:val="en-US"/>
        </w:rPr>
        <w:t xml:space="preserve"> (McGraw Hill Education 2012); Kate Crawford and Danah Boyd, ‘Critical Questions for Big Data. Provocations for a Cultural, Technological and Scholarly Phenomenon’ (2012) 15(5) Information, Communication &amp; Society 662 ff; Francis X. Diebold, ‘A Personal Perspective on the Origin(s) and Development of “Big Data”: The Phenomenon, the Term, and the Discipline. 2</w:t>
      </w:r>
      <w:r w:rsidRPr="008A16E6">
        <w:rPr>
          <w:sz w:val="18"/>
          <w:szCs w:val="18"/>
          <w:vertAlign w:val="superscript"/>
          <w:lang w:val="en-US"/>
        </w:rPr>
        <w:t>nd</w:t>
      </w:r>
      <w:r>
        <w:rPr>
          <w:sz w:val="18"/>
          <w:szCs w:val="18"/>
          <w:lang w:val="en-US"/>
        </w:rPr>
        <w:t xml:space="preserve"> version’ (2012) PIER Working Paper No. 13-003 1ff </w:t>
      </w:r>
      <w:hyperlink r:id="rId1" w:history="1">
        <w:r w:rsidRPr="002B254D">
          <w:rPr>
            <w:rStyle w:val="Collegamentoipertestuale"/>
            <w:sz w:val="18"/>
            <w:szCs w:val="18"/>
            <w:lang w:val="en-US"/>
          </w:rPr>
          <w:t>https://economics.sas.upenn.edu/sites/default/files/filevault/13-003.pdf</w:t>
        </w:r>
      </w:hyperlink>
      <w:r>
        <w:rPr>
          <w:sz w:val="18"/>
          <w:szCs w:val="18"/>
          <w:lang w:val="en-US"/>
        </w:rPr>
        <w:t xml:space="preserve"> accessed 9 December 2022; Viktor Mayer-Schonberger and Kenneth Cukier, </w:t>
      </w:r>
      <w:r w:rsidRPr="00B6401A">
        <w:rPr>
          <w:i/>
          <w:sz w:val="18"/>
          <w:szCs w:val="18"/>
          <w:lang w:val="en-US"/>
        </w:rPr>
        <w:t>Big Data: A Revolution That Will Transform Howe We Live, Work and Think</w:t>
      </w:r>
      <w:r>
        <w:rPr>
          <w:sz w:val="18"/>
          <w:szCs w:val="18"/>
          <w:lang w:val="en-US"/>
        </w:rPr>
        <w:t xml:space="preserve"> (Houghton Mifflin Harcourt 2013); Maria Teresa Maggiolino, </w:t>
      </w:r>
      <w:r w:rsidRPr="00773418">
        <w:rPr>
          <w:i/>
          <w:sz w:val="18"/>
          <w:szCs w:val="18"/>
          <w:lang w:val="en-US"/>
        </w:rPr>
        <w:t>I big data e il diritto antitrust</w:t>
      </w:r>
      <w:r>
        <w:rPr>
          <w:sz w:val="18"/>
          <w:szCs w:val="18"/>
          <w:lang w:val="en-US"/>
        </w:rPr>
        <w:t xml:space="preserve"> (Egea 2018) 23-72.</w:t>
      </w:r>
    </w:p>
  </w:footnote>
  <w:footnote w:id="5">
    <w:p w14:paraId="425D2871" w14:textId="46AEB728" w:rsidR="00467B24" w:rsidRPr="00F10894" w:rsidRDefault="00467B24" w:rsidP="0056073B">
      <w:pPr>
        <w:pStyle w:val="Testonotaapidipagina"/>
        <w:spacing w:line="276" w:lineRule="auto"/>
        <w:jc w:val="both"/>
        <w:rPr>
          <w:b/>
          <w:bCs/>
          <w:sz w:val="18"/>
          <w:szCs w:val="18"/>
          <w:lang w:val="en"/>
        </w:rPr>
      </w:pPr>
      <w:r w:rsidRPr="00F10894">
        <w:rPr>
          <w:rStyle w:val="Rimandonotaapidipagina"/>
          <w:sz w:val="18"/>
          <w:szCs w:val="18"/>
        </w:rPr>
        <w:footnoteRef/>
      </w:r>
      <w:r w:rsidRPr="00F10894">
        <w:rPr>
          <w:sz w:val="18"/>
          <w:szCs w:val="18"/>
          <w:lang w:val="en-US"/>
        </w:rPr>
        <w:t xml:space="preserve"> According to the Gartner Information Techno</w:t>
      </w:r>
      <w:r>
        <w:rPr>
          <w:sz w:val="18"/>
          <w:szCs w:val="18"/>
          <w:lang w:val="en-US"/>
        </w:rPr>
        <w:t>logy Dictionary, big data are: ‘</w:t>
      </w:r>
      <w:r w:rsidRPr="00370411">
        <w:rPr>
          <w:sz w:val="18"/>
          <w:szCs w:val="18"/>
          <w:lang w:val="en-US"/>
        </w:rPr>
        <w:t>high-volume, high-velocity and high-variety information assets that demand cost-effective, innovative forms of information processing for enhanced insight and decision making</w:t>
      </w:r>
      <w:r>
        <w:rPr>
          <w:sz w:val="18"/>
          <w:szCs w:val="18"/>
          <w:lang w:val="en-US"/>
        </w:rPr>
        <w:t>’ (see Doug Laney, 3D Data Management: Controlling Data Volume, Velocity and Variety (Gartner Information Technology Dictionary 2001))</w:t>
      </w:r>
      <w:r w:rsidRPr="00F10894">
        <w:rPr>
          <w:sz w:val="18"/>
          <w:szCs w:val="18"/>
          <w:lang w:val="en-US"/>
        </w:rPr>
        <w:t xml:space="preserve">. Another definition of big data </w:t>
      </w:r>
      <w:r>
        <w:rPr>
          <w:sz w:val="18"/>
          <w:szCs w:val="18"/>
          <w:lang w:val="en-US"/>
        </w:rPr>
        <w:t>as ‘</w:t>
      </w:r>
      <w:r w:rsidRPr="00412D8E">
        <w:rPr>
          <w:sz w:val="18"/>
          <w:szCs w:val="18"/>
          <w:lang w:val="en-US"/>
        </w:rPr>
        <w:t>large amounts of different types of data produced with high velocity from a high number of various types of sources</w:t>
      </w:r>
      <w:r>
        <w:rPr>
          <w:sz w:val="18"/>
          <w:szCs w:val="18"/>
          <w:lang w:val="en-US"/>
        </w:rPr>
        <w:t xml:space="preserve">’ is given </w:t>
      </w:r>
      <w:r w:rsidRPr="00F10894">
        <w:rPr>
          <w:sz w:val="18"/>
          <w:szCs w:val="18"/>
          <w:lang w:val="en-US"/>
        </w:rPr>
        <w:t xml:space="preserve">in the </w:t>
      </w:r>
      <w:r w:rsidRPr="00F10894">
        <w:rPr>
          <w:bCs/>
          <w:sz w:val="18"/>
          <w:szCs w:val="18"/>
          <w:lang w:val="en"/>
        </w:rPr>
        <w:t>Communication from the Commission to the European Parliament, the Council, the European economic and social Committee and the Committee of the Regions, Towards a thriving data-driven economy</w:t>
      </w:r>
      <w:r w:rsidRPr="00F10894">
        <w:rPr>
          <w:b/>
          <w:bCs/>
          <w:sz w:val="18"/>
          <w:szCs w:val="18"/>
          <w:lang w:val="en"/>
        </w:rPr>
        <w:t xml:space="preserve">, </w:t>
      </w:r>
      <w:r w:rsidRPr="00F10894">
        <w:rPr>
          <w:sz w:val="18"/>
          <w:szCs w:val="18"/>
          <w:lang w:val="en"/>
        </w:rPr>
        <w:t>COM/2014/0442 final</w:t>
      </w:r>
      <w:r>
        <w:rPr>
          <w:sz w:val="18"/>
          <w:szCs w:val="18"/>
          <w:lang w:val="en"/>
        </w:rPr>
        <w:t>.</w:t>
      </w:r>
    </w:p>
  </w:footnote>
  <w:footnote w:id="6">
    <w:p w14:paraId="7467B087" w14:textId="2E3082E4" w:rsidR="00467B24" w:rsidRPr="00F10894" w:rsidRDefault="00467B24" w:rsidP="0056073B">
      <w:pPr>
        <w:pStyle w:val="Testonotaapidipagina"/>
        <w:spacing w:line="276" w:lineRule="auto"/>
        <w:jc w:val="both"/>
        <w:rPr>
          <w:sz w:val="18"/>
          <w:szCs w:val="18"/>
          <w:lang w:val="en-US"/>
        </w:rPr>
      </w:pPr>
      <w:r w:rsidRPr="00F10894">
        <w:rPr>
          <w:rStyle w:val="Rimandonotaapidipagina"/>
          <w:sz w:val="18"/>
          <w:szCs w:val="18"/>
        </w:rPr>
        <w:footnoteRef/>
      </w:r>
      <w:r>
        <w:rPr>
          <w:sz w:val="18"/>
          <w:szCs w:val="18"/>
          <w:lang w:val="en-US"/>
        </w:rPr>
        <w:t xml:space="preserve"> Tal Zarsky</w:t>
      </w:r>
      <w:r w:rsidRPr="00F10894">
        <w:rPr>
          <w:sz w:val="18"/>
          <w:szCs w:val="18"/>
          <w:lang w:val="en-US"/>
        </w:rPr>
        <w:t xml:space="preserve">, </w:t>
      </w:r>
      <w:r>
        <w:rPr>
          <w:sz w:val="18"/>
          <w:szCs w:val="18"/>
          <w:lang w:val="en-US"/>
        </w:rPr>
        <w:t>‘”</w:t>
      </w:r>
      <w:r w:rsidRPr="001940E1">
        <w:rPr>
          <w:sz w:val="18"/>
          <w:szCs w:val="18"/>
          <w:lang w:val="en-US"/>
        </w:rPr>
        <w:t>Mine your own business!” Making the case for the implications of the data mining of personal information in the forum of public opinion’</w:t>
      </w:r>
      <w:r>
        <w:rPr>
          <w:sz w:val="18"/>
          <w:szCs w:val="18"/>
          <w:lang w:val="en-US"/>
        </w:rPr>
        <w:t xml:space="preserve"> (2003) 1 Yale J of L and Tech </w:t>
      </w:r>
      <w:r w:rsidRPr="00F10894">
        <w:rPr>
          <w:sz w:val="18"/>
          <w:szCs w:val="18"/>
          <w:lang w:val="en-US"/>
        </w:rPr>
        <w:t>6-7.</w:t>
      </w:r>
    </w:p>
  </w:footnote>
  <w:footnote w:id="7">
    <w:p w14:paraId="0F06A161" w14:textId="00306F6C" w:rsidR="00467B24" w:rsidRPr="00F10894" w:rsidRDefault="00467B24" w:rsidP="00BD20E5">
      <w:pPr>
        <w:pStyle w:val="Testonotaapidipagina"/>
        <w:spacing w:line="276" w:lineRule="auto"/>
        <w:jc w:val="both"/>
        <w:rPr>
          <w:sz w:val="18"/>
          <w:szCs w:val="18"/>
          <w:lang w:val="en-US"/>
        </w:rPr>
      </w:pPr>
      <w:r w:rsidRPr="00F10894">
        <w:rPr>
          <w:rStyle w:val="Rimandonotaapidipagina"/>
          <w:sz w:val="18"/>
          <w:szCs w:val="18"/>
        </w:rPr>
        <w:footnoteRef/>
      </w:r>
      <w:r>
        <w:rPr>
          <w:sz w:val="18"/>
          <w:szCs w:val="18"/>
          <w:lang w:val="en-US"/>
        </w:rPr>
        <w:t xml:space="preserve"> Vincenzo Zeno-Zencovich</w:t>
      </w:r>
      <w:r w:rsidRPr="00F10894">
        <w:rPr>
          <w:sz w:val="18"/>
          <w:szCs w:val="18"/>
          <w:lang w:val="en-US"/>
        </w:rPr>
        <w:t xml:space="preserve">, </w:t>
      </w:r>
      <w:r>
        <w:rPr>
          <w:sz w:val="18"/>
          <w:szCs w:val="18"/>
          <w:lang w:val="en-US"/>
        </w:rPr>
        <w:t>‘</w:t>
      </w:r>
      <w:r w:rsidRPr="001940E1">
        <w:rPr>
          <w:sz w:val="18"/>
          <w:szCs w:val="18"/>
          <w:lang w:val="en-US"/>
        </w:rPr>
        <w:t>Do “Data Markets” Exist?</w:t>
      </w:r>
      <w:r>
        <w:rPr>
          <w:sz w:val="18"/>
          <w:szCs w:val="18"/>
          <w:lang w:val="en-US"/>
        </w:rPr>
        <w:t xml:space="preserve">’ (2019) 2 </w:t>
      </w:r>
      <w:r w:rsidRPr="001940E1">
        <w:rPr>
          <w:sz w:val="18"/>
          <w:szCs w:val="18"/>
          <w:lang w:val="en-US"/>
        </w:rPr>
        <w:t>MediaLaws</w:t>
      </w:r>
      <w:r>
        <w:rPr>
          <w:sz w:val="18"/>
          <w:szCs w:val="18"/>
          <w:lang w:val="en-US"/>
        </w:rPr>
        <w:t xml:space="preserve"> 22ff.</w:t>
      </w:r>
    </w:p>
  </w:footnote>
  <w:footnote w:id="8">
    <w:p w14:paraId="32851B82" w14:textId="3CCD2FB0" w:rsidR="00467B24" w:rsidRPr="00CB7A8D" w:rsidRDefault="00467B24" w:rsidP="00C4328E">
      <w:pPr>
        <w:pStyle w:val="Testonotaapidipagina"/>
        <w:spacing w:line="276" w:lineRule="auto"/>
        <w:jc w:val="both"/>
        <w:rPr>
          <w:sz w:val="18"/>
          <w:lang w:val="en-US"/>
        </w:rPr>
      </w:pPr>
      <w:r w:rsidRPr="004772C6">
        <w:rPr>
          <w:rStyle w:val="Rimandonotaapidipagina"/>
          <w:sz w:val="18"/>
          <w:szCs w:val="18"/>
        </w:rPr>
        <w:footnoteRef/>
      </w:r>
      <w:r w:rsidRPr="004772C6">
        <w:rPr>
          <w:sz w:val="18"/>
          <w:szCs w:val="18"/>
          <w:lang w:val="en-US"/>
        </w:rPr>
        <w:t xml:space="preserve"> </w:t>
      </w:r>
      <w:r>
        <w:rPr>
          <w:sz w:val="18"/>
          <w:szCs w:val="18"/>
          <w:lang w:val="en-US"/>
        </w:rPr>
        <w:t>Vincenzo Ricciuto, ‘</w:t>
      </w:r>
      <w:r w:rsidRPr="000D615E">
        <w:rPr>
          <w:sz w:val="18"/>
          <w:szCs w:val="18"/>
          <w:lang w:val="en-US"/>
        </w:rPr>
        <w:t>Authorities and Private Companies in Regulating Software Technologies</w:t>
      </w:r>
      <w:r>
        <w:rPr>
          <w:sz w:val="18"/>
          <w:szCs w:val="18"/>
          <w:lang w:val="en-US"/>
        </w:rPr>
        <w:t xml:space="preserve">’, in Roberto Senigaglia, Claudia Irti and Alessandro Bernes (eds), </w:t>
      </w:r>
      <w:r w:rsidRPr="004772C6">
        <w:rPr>
          <w:i/>
          <w:sz w:val="18"/>
          <w:szCs w:val="18"/>
          <w:lang w:val="en-US"/>
        </w:rPr>
        <w:t>Privacy and Data Protection in Software Services</w:t>
      </w:r>
      <w:r>
        <w:rPr>
          <w:sz w:val="18"/>
          <w:szCs w:val="18"/>
          <w:lang w:val="en-US"/>
        </w:rPr>
        <w:t xml:space="preserve"> (Springer, 2022) 16. The European risk-based approach is evident from the proposal for </w:t>
      </w:r>
      <w:r w:rsidRPr="0011646C">
        <w:rPr>
          <w:sz w:val="18"/>
          <w:szCs w:val="18"/>
          <w:lang w:val="en-US"/>
        </w:rPr>
        <w:t>a Regulation of the European Parliament and of the Council laying down harmonised rules on Artificial Intelligence and amending certain EU legislative acts (Artificial Intelligence Act) [2021] COM/2021/206 final</w:t>
      </w:r>
      <w:r>
        <w:rPr>
          <w:sz w:val="18"/>
          <w:szCs w:val="18"/>
          <w:lang w:val="en-US"/>
        </w:rPr>
        <w:t>.</w:t>
      </w:r>
    </w:p>
  </w:footnote>
  <w:footnote w:id="9">
    <w:p w14:paraId="71E2CB64" w14:textId="5FCC4A1C" w:rsidR="00467B24" w:rsidRPr="00F10894" w:rsidRDefault="00467B24" w:rsidP="00C4328E">
      <w:pPr>
        <w:pStyle w:val="Testonotaapidipagina"/>
        <w:spacing w:line="276" w:lineRule="auto"/>
        <w:jc w:val="both"/>
        <w:rPr>
          <w:sz w:val="18"/>
          <w:szCs w:val="18"/>
          <w:lang w:val="en-US"/>
        </w:rPr>
      </w:pPr>
      <w:r w:rsidRPr="00F10894">
        <w:rPr>
          <w:rStyle w:val="Rimandonotaapidipagina"/>
          <w:sz w:val="18"/>
          <w:szCs w:val="18"/>
        </w:rPr>
        <w:footnoteRef/>
      </w:r>
      <w:r>
        <w:rPr>
          <w:sz w:val="18"/>
          <w:szCs w:val="18"/>
          <w:lang w:val="en-US"/>
        </w:rPr>
        <w:t xml:space="preserve"> Vincenzo Zeno-Zencovich (n. 7) </w:t>
      </w:r>
      <w:r w:rsidRPr="00F10894">
        <w:rPr>
          <w:sz w:val="18"/>
          <w:szCs w:val="18"/>
          <w:lang w:val="en-US"/>
        </w:rPr>
        <w:t>30-31.</w:t>
      </w:r>
      <w:r w:rsidRPr="00E9201C">
        <w:rPr>
          <w:lang w:val="en-US"/>
        </w:rPr>
        <w:t xml:space="preserve"> </w:t>
      </w:r>
      <w:r>
        <w:rPr>
          <w:sz w:val="18"/>
          <w:szCs w:val="18"/>
          <w:lang w:val="en-US"/>
        </w:rPr>
        <w:t>AI systems are ‘</w:t>
      </w:r>
      <w:r w:rsidRPr="00E9201C">
        <w:rPr>
          <w:sz w:val="18"/>
          <w:szCs w:val="18"/>
          <w:lang w:val="en-US"/>
        </w:rPr>
        <w:t>systems that can, for a given set of human-defined objectives, generate outputs such as content, predictions, recommendations, or decisions influencing the environments they i</w:t>
      </w:r>
      <w:r>
        <w:rPr>
          <w:sz w:val="18"/>
          <w:szCs w:val="18"/>
          <w:lang w:val="en-US"/>
        </w:rPr>
        <w:t xml:space="preserve">nteract with’ </w:t>
      </w:r>
      <w:r w:rsidRPr="00EE1A4E">
        <w:rPr>
          <w:sz w:val="18"/>
          <w:szCs w:val="18"/>
          <w:lang w:val="en-US"/>
        </w:rPr>
        <w:t>(</w:t>
      </w:r>
      <w:r>
        <w:rPr>
          <w:bCs/>
          <w:sz w:val="18"/>
          <w:szCs w:val="18"/>
          <w:lang w:val="en-US"/>
        </w:rPr>
        <w:t>Proposal for an ‘</w:t>
      </w:r>
      <w:r w:rsidRPr="00EE1A4E">
        <w:rPr>
          <w:bCs/>
          <w:sz w:val="18"/>
          <w:szCs w:val="18"/>
          <w:lang w:val="en-US"/>
        </w:rPr>
        <w:t>Artificial Intelligence Act</w:t>
      </w:r>
      <w:r>
        <w:rPr>
          <w:bCs/>
          <w:sz w:val="18"/>
          <w:szCs w:val="18"/>
          <w:lang w:val="en-US"/>
        </w:rPr>
        <w:t xml:space="preserve">’, </w:t>
      </w:r>
      <w:r>
        <w:rPr>
          <w:sz w:val="18"/>
          <w:szCs w:val="18"/>
          <w:lang w:val="en-US"/>
        </w:rPr>
        <w:t>a</w:t>
      </w:r>
      <w:r w:rsidRPr="00F10894">
        <w:rPr>
          <w:sz w:val="18"/>
          <w:szCs w:val="18"/>
          <w:lang w:val="en-US"/>
        </w:rPr>
        <w:t>r</w:t>
      </w:r>
      <w:r>
        <w:rPr>
          <w:sz w:val="18"/>
          <w:szCs w:val="18"/>
          <w:lang w:val="en-US"/>
        </w:rPr>
        <w:t xml:space="preserve">t 3, par 1 (Definitions)). They </w:t>
      </w:r>
      <w:r w:rsidRPr="00E9201C">
        <w:rPr>
          <w:sz w:val="18"/>
          <w:szCs w:val="18"/>
          <w:lang w:val="en-US"/>
        </w:rPr>
        <w:t>have an increasingly important role in our daily life</w:t>
      </w:r>
      <w:r>
        <w:rPr>
          <w:sz w:val="18"/>
          <w:szCs w:val="18"/>
          <w:lang w:val="en-US"/>
        </w:rPr>
        <w:t xml:space="preserve">. </w:t>
      </w:r>
      <w:r w:rsidRPr="00F10894">
        <w:rPr>
          <w:sz w:val="18"/>
          <w:szCs w:val="18"/>
          <w:lang w:val="en-US"/>
        </w:rPr>
        <w:t>For one of the first de</w:t>
      </w:r>
      <w:r>
        <w:rPr>
          <w:sz w:val="18"/>
          <w:szCs w:val="18"/>
          <w:lang w:val="en-US"/>
        </w:rPr>
        <w:t>finitions of AI, see Ray Kurzweil</w:t>
      </w:r>
      <w:r w:rsidRPr="00F10894">
        <w:rPr>
          <w:sz w:val="18"/>
          <w:szCs w:val="18"/>
          <w:lang w:val="en-US"/>
        </w:rPr>
        <w:t xml:space="preserve">, </w:t>
      </w:r>
      <w:r>
        <w:rPr>
          <w:sz w:val="18"/>
          <w:szCs w:val="18"/>
          <w:lang w:val="en-US"/>
        </w:rPr>
        <w:t>‘</w:t>
      </w:r>
      <w:r w:rsidRPr="00DF118D">
        <w:rPr>
          <w:sz w:val="18"/>
          <w:szCs w:val="18"/>
          <w:lang w:val="en-US"/>
        </w:rPr>
        <w:t>What is Artificial Intelligence Anyway?</w:t>
      </w:r>
      <w:r>
        <w:rPr>
          <w:sz w:val="18"/>
          <w:szCs w:val="18"/>
          <w:lang w:val="en-US"/>
        </w:rPr>
        <w:t>’ (1985) 73(3) American Scientist 258ff.</w:t>
      </w:r>
    </w:p>
  </w:footnote>
  <w:footnote w:id="10">
    <w:p w14:paraId="39120B07" w14:textId="64C64648" w:rsidR="00467B24" w:rsidRPr="00F10894" w:rsidRDefault="00467B24" w:rsidP="00C4328E">
      <w:pPr>
        <w:pStyle w:val="Testonotaapidipagina"/>
        <w:spacing w:line="276" w:lineRule="auto"/>
        <w:jc w:val="both"/>
        <w:rPr>
          <w:sz w:val="18"/>
          <w:szCs w:val="18"/>
          <w:lang w:val="en-US"/>
        </w:rPr>
      </w:pPr>
      <w:r w:rsidRPr="00F10894">
        <w:rPr>
          <w:rStyle w:val="Rimandonotaapidipagina"/>
          <w:sz w:val="18"/>
          <w:szCs w:val="18"/>
        </w:rPr>
        <w:footnoteRef/>
      </w:r>
      <w:r w:rsidRPr="00F10894">
        <w:rPr>
          <w:sz w:val="18"/>
          <w:szCs w:val="18"/>
          <w:lang w:val="en-US"/>
        </w:rPr>
        <w:t xml:space="preserve"> </w:t>
      </w:r>
      <w:r>
        <w:rPr>
          <w:sz w:val="18"/>
          <w:szCs w:val="18"/>
          <w:lang w:val="en-US"/>
        </w:rPr>
        <w:t>See Marco Lippi, Giuseppe Contissa</w:t>
      </w:r>
      <w:r w:rsidRPr="00F10894">
        <w:rPr>
          <w:sz w:val="18"/>
          <w:szCs w:val="18"/>
          <w:lang w:val="en-US"/>
        </w:rPr>
        <w:t xml:space="preserve">, </w:t>
      </w:r>
      <w:r>
        <w:rPr>
          <w:sz w:val="18"/>
          <w:szCs w:val="18"/>
          <w:lang w:val="en-US"/>
        </w:rPr>
        <w:t>Agnieszka Jablonowska</w:t>
      </w:r>
      <w:r w:rsidRPr="00F10894">
        <w:rPr>
          <w:sz w:val="18"/>
          <w:szCs w:val="18"/>
          <w:lang w:val="en-US"/>
        </w:rPr>
        <w:t xml:space="preserve">, </w:t>
      </w:r>
      <w:r>
        <w:rPr>
          <w:sz w:val="18"/>
          <w:szCs w:val="18"/>
          <w:lang w:val="en-US"/>
        </w:rPr>
        <w:t xml:space="preserve">Hans W. Micklitz, </w:t>
      </w:r>
      <w:r w:rsidRPr="00BB030E">
        <w:rPr>
          <w:sz w:val="18"/>
          <w:szCs w:val="18"/>
          <w:lang w:val="en-US"/>
        </w:rPr>
        <w:t xml:space="preserve">Przemysław </w:t>
      </w:r>
      <w:r>
        <w:rPr>
          <w:sz w:val="18"/>
          <w:szCs w:val="18"/>
          <w:lang w:val="en-US"/>
        </w:rPr>
        <w:t>Palka, Giovanni Sartor and Paolo Torroni</w:t>
      </w:r>
      <w:r w:rsidRPr="00F10894">
        <w:rPr>
          <w:sz w:val="18"/>
          <w:szCs w:val="18"/>
          <w:lang w:val="en-US"/>
        </w:rPr>
        <w:t xml:space="preserve">, </w:t>
      </w:r>
      <w:r>
        <w:rPr>
          <w:sz w:val="18"/>
          <w:szCs w:val="18"/>
          <w:lang w:val="en-US"/>
        </w:rPr>
        <w:t>‘</w:t>
      </w:r>
      <w:r w:rsidRPr="00BB030E">
        <w:rPr>
          <w:sz w:val="18"/>
          <w:szCs w:val="18"/>
          <w:lang w:val="en-US"/>
        </w:rPr>
        <w:t>The Force Awakens: Artificial Intelligence for Consumer Law’</w:t>
      </w:r>
      <w:r>
        <w:rPr>
          <w:sz w:val="18"/>
          <w:szCs w:val="18"/>
          <w:lang w:val="en-US"/>
        </w:rPr>
        <w:t xml:space="preserve"> (2020)</w:t>
      </w:r>
      <w:r w:rsidRPr="00F10894">
        <w:rPr>
          <w:i/>
          <w:sz w:val="18"/>
          <w:szCs w:val="18"/>
          <w:lang w:val="en-US"/>
        </w:rPr>
        <w:t xml:space="preserve"> </w:t>
      </w:r>
      <w:r w:rsidRPr="00BB030E">
        <w:rPr>
          <w:sz w:val="18"/>
          <w:szCs w:val="18"/>
          <w:lang w:val="en-US"/>
        </w:rPr>
        <w:t xml:space="preserve">JAIR </w:t>
      </w:r>
      <w:r>
        <w:rPr>
          <w:sz w:val="18"/>
          <w:szCs w:val="18"/>
          <w:lang w:val="en-US"/>
        </w:rPr>
        <w:t>171. See also Giuseppe Colangelo and Maria Teresa Maggiolino</w:t>
      </w:r>
      <w:r w:rsidRPr="00F10894">
        <w:rPr>
          <w:sz w:val="18"/>
          <w:szCs w:val="18"/>
          <w:lang w:val="en-US"/>
        </w:rPr>
        <w:t xml:space="preserve">, </w:t>
      </w:r>
      <w:r>
        <w:rPr>
          <w:sz w:val="18"/>
          <w:szCs w:val="18"/>
          <w:lang w:val="en-US"/>
        </w:rPr>
        <w:t>‘</w:t>
      </w:r>
      <w:r w:rsidRPr="00201151">
        <w:rPr>
          <w:sz w:val="18"/>
          <w:szCs w:val="18"/>
          <w:lang w:val="en-US"/>
        </w:rPr>
        <w:t>From fragile to smart consumers: Shifting paradigm for the digital era’</w:t>
      </w:r>
      <w:r>
        <w:rPr>
          <w:sz w:val="18"/>
          <w:szCs w:val="18"/>
          <w:lang w:val="en-US"/>
        </w:rPr>
        <w:t xml:space="preserve"> (2019) 35</w:t>
      </w:r>
      <w:r w:rsidRPr="00F10894">
        <w:rPr>
          <w:sz w:val="18"/>
          <w:szCs w:val="18"/>
          <w:lang w:val="en-US"/>
        </w:rPr>
        <w:t xml:space="preserve"> </w:t>
      </w:r>
      <w:r w:rsidRPr="004C351B">
        <w:rPr>
          <w:sz w:val="18"/>
          <w:szCs w:val="18"/>
          <w:lang w:val="en-US"/>
        </w:rPr>
        <w:t xml:space="preserve">Computer L &amp; Security Rev </w:t>
      </w:r>
      <w:r w:rsidRPr="00F10894">
        <w:rPr>
          <w:sz w:val="18"/>
          <w:szCs w:val="18"/>
          <w:lang w:val="en-US"/>
        </w:rPr>
        <w:t>174-176.</w:t>
      </w:r>
    </w:p>
  </w:footnote>
  <w:footnote w:id="11">
    <w:p w14:paraId="47811AD8" w14:textId="639D9321" w:rsidR="00467B24" w:rsidRPr="00EE1A4E" w:rsidRDefault="00467B24" w:rsidP="00C4328E">
      <w:pPr>
        <w:pStyle w:val="Testonotaapidipagina"/>
        <w:spacing w:line="276" w:lineRule="auto"/>
        <w:jc w:val="both"/>
        <w:rPr>
          <w:sz w:val="18"/>
          <w:lang w:val="en-US"/>
        </w:rPr>
      </w:pPr>
      <w:r w:rsidRPr="00A57852">
        <w:rPr>
          <w:rStyle w:val="Rimandonotaapidipagina"/>
          <w:sz w:val="18"/>
          <w:szCs w:val="18"/>
        </w:rPr>
        <w:footnoteRef/>
      </w:r>
      <w:r w:rsidRPr="00A57852">
        <w:rPr>
          <w:sz w:val="18"/>
          <w:szCs w:val="18"/>
          <w:lang w:val="en-US"/>
        </w:rPr>
        <w:t xml:space="preserve"> </w:t>
      </w:r>
      <w:r w:rsidRPr="00EE1A4E">
        <w:rPr>
          <w:sz w:val="18"/>
          <w:lang w:val="en-US"/>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[2016] OJ 2 119/1</w:t>
      </w:r>
      <w:r>
        <w:rPr>
          <w:sz w:val="18"/>
          <w:lang w:val="en-US"/>
        </w:rPr>
        <w:t>.</w:t>
      </w:r>
    </w:p>
  </w:footnote>
  <w:footnote w:id="12">
    <w:p w14:paraId="74CA13D0" w14:textId="5A41C352" w:rsidR="00467B24" w:rsidRPr="00F10894" w:rsidRDefault="00467B24" w:rsidP="00C4328E">
      <w:pPr>
        <w:pStyle w:val="Testonotaapidipagina"/>
        <w:spacing w:line="276" w:lineRule="auto"/>
        <w:jc w:val="both"/>
        <w:rPr>
          <w:sz w:val="18"/>
          <w:szCs w:val="18"/>
          <w:lang w:val="en-US"/>
        </w:rPr>
      </w:pPr>
      <w:r w:rsidRPr="00F10894">
        <w:rPr>
          <w:rStyle w:val="Rimandonotaapidipagina"/>
          <w:sz w:val="18"/>
          <w:szCs w:val="18"/>
        </w:rPr>
        <w:footnoteRef/>
      </w:r>
      <w:r w:rsidRPr="00F10894">
        <w:rPr>
          <w:sz w:val="18"/>
          <w:szCs w:val="18"/>
          <w:lang w:val="en-US"/>
        </w:rPr>
        <w:t xml:space="preserve"> </w:t>
      </w:r>
      <w:r>
        <w:rPr>
          <w:sz w:val="18"/>
          <w:szCs w:val="18"/>
          <w:lang w:val="en-US"/>
        </w:rPr>
        <w:t>On the relationship between big data and the GDPR, Tal Zarsky</w:t>
      </w:r>
      <w:r w:rsidRPr="00F10894">
        <w:rPr>
          <w:sz w:val="18"/>
          <w:szCs w:val="18"/>
          <w:lang w:val="en-US"/>
        </w:rPr>
        <w:t xml:space="preserve">, </w:t>
      </w:r>
      <w:r>
        <w:rPr>
          <w:sz w:val="18"/>
          <w:szCs w:val="18"/>
          <w:lang w:val="en-US"/>
        </w:rPr>
        <w:t>‘</w:t>
      </w:r>
      <w:r w:rsidRPr="00233815">
        <w:rPr>
          <w:sz w:val="18"/>
          <w:szCs w:val="18"/>
          <w:lang w:val="en-US"/>
        </w:rPr>
        <w:t>Incompatible: The GDPR in the Age of Big Data</w:t>
      </w:r>
      <w:r>
        <w:rPr>
          <w:sz w:val="18"/>
          <w:szCs w:val="18"/>
          <w:lang w:val="en-US"/>
        </w:rPr>
        <w:t>’</w:t>
      </w:r>
      <w:r w:rsidRPr="00F10894">
        <w:rPr>
          <w:sz w:val="18"/>
          <w:szCs w:val="18"/>
          <w:lang w:val="en-US"/>
        </w:rPr>
        <w:t xml:space="preserve"> </w:t>
      </w:r>
      <w:r>
        <w:rPr>
          <w:sz w:val="18"/>
          <w:szCs w:val="18"/>
          <w:lang w:val="en-US"/>
        </w:rPr>
        <w:t xml:space="preserve">(2017) 47(995) </w:t>
      </w:r>
      <w:r w:rsidRPr="00233815">
        <w:rPr>
          <w:sz w:val="18"/>
          <w:szCs w:val="18"/>
          <w:lang w:val="en-US"/>
        </w:rPr>
        <w:t>Seton Hall L Rev</w:t>
      </w:r>
      <w:r>
        <w:rPr>
          <w:sz w:val="18"/>
          <w:szCs w:val="18"/>
          <w:lang w:val="en-US"/>
        </w:rPr>
        <w:t xml:space="preserve"> 995ff.</w:t>
      </w:r>
    </w:p>
  </w:footnote>
  <w:footnote w:id="13">
    <w:p w14:paraId="6CACB134" w14:textId="15A71A3E" w:rsidR="00467B24" w:rsidRPr="00CD1484" w:rsidRDefault="00467B24" w:rsidP="00C4328E">
      <w:pPr>
        <w:pStyle w:val="Testonotaapidipagina"/>
        <w:spacing w:line="276" w:lineRule="auto"/>
        <w:jc w:val="both"/>
        <w:rPr>
          <w:sz w:val="18"/>
          <w:szCs w:val="18"/>
        </w:rPr>
      </w:pPr>
      <w:r w:rsidRPr="00F10894">
        <w:rPr>
          <w:rStyle w:val="Rimandonotaapidipagina"/>
          <w:sz w:val="18"/>
          <w:szCs w:val="18"/>
        </w:rPr>
        <w:footnoteRef/>
      </w:r>
      <w:r>
        <w:rPr>
          <w:sz w:val="18"/>
          <w:szCs w:val="18"/>
          <w:lang w:val="en-US"/>
        </w:rPr>
        <w:t xml:space="preserve"> On the risk-based approach, see Raphael Gellert</w:t>
      </w:r>
      <w:r w:rsidRPr="00F10894">
        <w:rPr>
          <w:sz w:val="18"/>
          <w:szCs w:val="18"/>
          <w:lang w:val="en-US"/>
        </w:rPr>
        <w:t xml:space="preserve">, </w:t>
      </w:r>
      <w:r w:rsidRPr="00F10894">
        <w:rPr>
          <w:i/>
          <w:sz w:val="18"/>
          <w:szCs w:val="18"/>
          <w:lang w:val="en-US"/>
        </w:rPr>
        <w:t>The risk-based approach to data protection</w:t>
      </w:r>
      <w:r>
        <w:rPr>
          <w:sz w:val="18"/>
          <w:szCs w:val="18"/>
          <w:lang w:val="en-US"/>
        </w:rPr>
        <w:t xml:space="preserve"> (OUP 2020). </w:t>
      </w:r>
      <w:r w:rsidRPr="00CD1484">
        <w:rPr>
          <w:sz w:val="18"/>
          <w:szCs w:val="18"/>
        </w:rPr>
        <w:t>See also Alessandro Mantelero</w:t>
      </w:r>
      <w:r>
        <w:rPr>
          <w:sz w:val="18"/>
          <w:szCs w:val="18"/>
        </w:rPr>
        <w:t>, ‘</w:t>
      </w:r>
      <w:r w:rsidRPr="00CD1484">
        <w:rPr>
          <w:sz w:val="18"/>
          <w:szCs w:val="18"/>
        </w:rPr>
        <w:t>Responsabilità e rischio nel Regolamento UE 2016/679’</w:t>
      </w:r>
      <w:r>
        <w:rPr>
          <w:sz w:val="18"/>
          <w:szCs w:val="18"/>
        </w:rPr>
        <w:t xml:space="preserve"> (2017) Nuove Leggi Civili Commentate 144ff.</w:t>
      </w:r>
    </w:p>
  </w:footnote>
  <w:footnote w:id="14">
    <w:p w14:paraId="208B2843" w14:textId="78396585" w:rsidR="00467B24" w:rsidRPr="000C5BF9" w:rsidRDefault="00467B24" w:rsidP="00E72E6E">
      <w:pPr>
        <w:pStyle w:val="Testonotaapidipagina"/>
        <w:spacing w:line="276" w:lineRule="auto"/>
        <w:jc w:val="both"/>
        <w:rPr>
          <w:sz w:val="18"/>
          <w:szCs w:val="18"/>
          <w:lang w:val="en-US"/>
        </w:rPr>
      </w:pPr>
      <w:r w:rsidRPr="000C5BF9">
        <w:rPr>
          <w:rStyle w:val="Rimandonotaapidipagina"/>
          <w:sz w:val="18"/>
          <w:szCs w:val="18"/>
        </w:rPr>
        <w:footnoteRef/>
      </w:r>
      <w:r w:rsidRPr="000C5BF9">
        <w:rPr>
          <w:sz w:val="18"/>
          <w:szCs w:val="18"/>
          <w:lang w:val="en-US"/>
        </w:rPr>
        <w:t xml:space="preserve"> </w:t>
      </w:r>
      <w:r>
        <w:rPr>
          <w:sz w:val="18"/>
          <w:szCs w:val="18"/>
          <w:lang w:val="en-US"/>
        </w:rPr>
        <w:t xml:space="preserve">Chapter VI (Independent Supervisory Authorities), Section 2 (Competence, Tasks and Powers) GDPR and art 58 GDPR (Powers). </w:t>
      </w:r>
    </w:p>
  </w:footnote>
  <w:footnote w:id="15">
    <w:p w14:paraId="21B0E753" w14:textId="27EF07BE" w:rsidR="00467B24" w:rsidRPr="000C5BF9" w:rsidRDefault="00467B24" w:rsidP="00C4328E">
      <w:pPr>
        <w:pStyle w:val="Testonotaapidipagina"/>
        <w:spacing w:line="276" w:lineRule="auto"/>
        <w:jc w:val="both"/>
        <w:rPr>
          <w:sz w:val="18"/>
          <w:szCs w:val="18"/>
          <w:lang w:val="en-US"/>
        </w:rPr>
      </w:pPr>
      <w:r w:rsidRPr="000C5BF9">
        <w:rPr>
          <w:rStyle w:val="Rimandonotaapidipagina"/>
          <w:sz w:val="18"/>
          <w:szCs w:val="18"/>
        </w:rPr>
        <w:footnoteRef/>
      </w:r>
      <w:r w:rsidRPr="000C5BF9">
        <w:rPr>
          <w:sz w:val="18"/>
          <w:szCs w:val="18"/>
          <w:lang w:val="en-US"/>
        </w:rPr>
        <w:t xml:space="preserve"> </w:t>
      </w:r>
      <w:r>
        <w:rPr>
          <w:sz w:val="18"/>
          <w:szCs w:val="18"/>
          <w:lang w:val="en-US"/>
        </w:rPr>
        <w:t xml:space="preserve">Paul Voigt and Alex von dem Bussche, </w:t>
      </w:r>
      <w:r w:rsidRPr="00D84C22">
        <w:rPr>
          <w:i/>
          <w:sz w:val="18"/>
          <w:szCs w:val="18"/>
          <w:lang w:val="en-US"/>
        </w:rPr>
        <w:t>The EU General Data Protection Regulation (GDPR). A practical guide</w:t>
      </w:r>
      <w:r>
        <w:rPr>
          <w:sz w:val="18"/>
          <w:szCs w:val="18"/>
          <w:lang w:val="en-US"/>
        </w:rPr>
        <w:t xml:space="preserve"> (2017 Springer) 202ff.</w:t>
      </w:r>
    </w:p>
  </w:footnote>
  <w:footnote w:id="16">
    <w:p w14:paraId="509FF3A0" w14:textId="33BF4CDA" w:rsidR="00467B24" w:rsidRPr="0026387F" w:rsidRDefault="00467B24" w:rsidP="00C4328E">
      <w:pPr>
        <w:pStyle w:val="Testonotaapidipagina"/>
        <w:spacing w:line="276" w:lineRule="auto"/>
        <w:jc w:val="both"/>
        <w:rPr>
          <w:sz w:val="18"/>
          <w:szCs w:val="18"/>
          <w:lang w:val="en-US"/>
        </w:rPr>
      </w:pPr>
      <w:r w:rsidRPr="0026387F">
        <w:rPr>
          <w:rStyle w:val="Rimandonotaapidipagina"/>
          <w:sz w:val="18"/>
          <w:szCs w:val="18"/>
        </w:rPr>
        <w:footnoteRef/>
      </w:r>
      <w:r w:rsidRPr="0026387F">
        <w:rPr>
          <w:sz w:val="18"/>
          <w:szCs w:val="18"/>
          <w:lang w:val="en-US"/>
        </w:rPr>
        <w:t xml:space="preserve"> </w:t>
      </w:r>
      <w:r>
        <w:rPr>
          <w:sz w:val="18"/>
          <w:szCs w:val="18"/>
          <w:lang w:val="en-US"/>
        </w:rPr>
        <w:t>Ibid 210ff.</w:t>
      </w:r>
    </w:p>
  </w:footnote>
  <w:footnote w:id="17">
    <w:p w14:paraId="27E13AE2" w14:textId="62A0ACFF" w:rsidR="00467B24" w:rsidRPr="00F10894" w:rsidRDefault="00467B24" w:rsidP="00C4328E">
      <w:pPr>
        <w:pStyle w:val="Testonotaapidipagina"/>
        <w:spacing w:line="276" w:lineRule="auto"/>
        <w:jc w:val="both"/>
        <w:rPr>
          <w:sz w:val="18"/>
          <w:szCs w:val="18"/>
          <w:lang w:val="en-US"/>
        </w:rPr>
      </w:pPr>
      <w:r w:rsidRPr="002A3063">
        <w:rPr>
          <w:rStyle w:val="Rimandonotaapidipagina"/>
          <w:sz w:val="18"/>
          <w:szCs w:val="18"/>
        </w:rPr>
        <w:footnoteRef/>
      </w:r>
      <w:r w:rsidRPr="002A3063">
        <w:rPr>
          <w:sz w:val="18"/>
          <w:szCs w:val="18"/>
          <w:lang w:val="en-US"/>
        </w:rPr>
        <w:t xml:space="preserve"> Case C-319/20 </w:t>
      </w:r>
      <w:r w:rsidRPr="002A3063">
        <w:rPr>
          <w:bCs/>
          <w:i/>
          <w:sz w:val="18"/>
          <w:szCs w:val="18"/>
          <w:lang w:val="en-US"/>
        </w:rPr>
        <w:t>Meta Platforms Ireland Limited v Bundesverband der Verbraucherzentralen und Verbraucherverbände - Verbraucherzentrale Bundesverband eV</w:t>
      </w:r>
      <w:r w:rsidRPr="002A3063">
        <w:rPr>
          <w:bCs/>
          <w:sz w:val="18"/>
          <w:szCs w:val="18"/>
          <w:lang w:val="en-US"/>
        </w:rPr>
        <w:t>.</w:t>
      </w:r>
      <w:r w:rsidRPr="002A3063">
        <w:rPr>
          <w:sz w:val="18"/>
          <w:szCs w:val="18"/>
          <w:lang w:val="en-US"/>
        </w:rPr>
        <w:t xml:space="preserve"> [2022]</w:t>
      </w:r>
      <w:r w:rsidRPr="005A00DF">
        <w:rPr>
          <w:sz w:val="18"/>
          <w:szCs w:val="18"/>
          <w:lang w:val="en-US"/>
        </w:rPr>
        <w:t xml:space="preserve"> </w:t>
      </w:r>
      <w:r w:rsidRPr="00F10894">
        <w:rPr>
          <w:sz w:val="18"/>
          <w:szCs w:val="18"/>
          <w:lang w:val="en-US"/>
        </w:rPr>
        <w:t>EU:C:2022:322</w:t>
      </w:r>
      <w:r w:rsidRPr="002A3063">
        <w:rPr>
          <w:sz w:val="18"/>
          <w:szCs w:val="18"/>
          <w:lang w:val="en-US"/>
        </w:rPr>
        <w:t>.</w:t>
      </w:r>
    </w:p>
  </w:footnote>
  <w:footnote w:id="18">
    <w:p w14:paraId="35272398" w14:textId="600C10C1" w:rsidR="00467B24" w:rsidRPr="00B571E0" w:rsidRDefault="00467B24" w:rsidP="00B571E0">
      <w:pPr>
        <w:pStyle w:val="Testonotaapidipagina"/>
        <w:spacing w:line="276" w:lineRule="auto"/>
        <w:jc w:val="both"/>
        <w:rPr>
          <w:sz w:val="18"/>
          <w:szCs w:val="18"/>
          <w:lang w:val="en-US"/>
        </w:rPr>
      </w:pPr>
      <w:r w:rsidRPr="00B571E0">
        <w:rPr>
          <w:rStyle w:val="Rimandonotaapidipagina"/>
          <w:sz w:val="18"/>
          <w:szCs w:val="18"/>
        </w:rPr>
        <w:footnoteRef/>
      </w:r>
      <w:r>
        <w:rPr>
          <w:sz w:val="18"/>
          <w:szCs w:val="18"/>
          <w:lang w:val="en-US"/>
        </w:rPr>
        <w:t xml:space="preserve"> Hans W. Micklitz and Fabrizio Cafaggi</w:t>
      </w:r>
      <w:r w:rsidRPr="00B571E0">
        <w:rPr>
          <w:sz w:val="18"/>
          <w:szCs w:val="18"/>
          <w:lang w:val="en-US"/>
        </w:rPr>
        <w:t>,</w:t>
      </w:r>
      <w:r w:rsidRPr="00B571E0">
        <w:rPr>
          <w:i/>
          <w:sz w:val="18"/>
          <w:szCs w:val="18"/>
          <w:lang w:val="en-US"/>
        </w:rPr>
        <w:t xml:space="preserve"> </w:t>
      </w:r>
      <w:r>
        <w:rPr>
          <w:sz w:val="18"/>
          <w:szCs w:val="18"/>
          <w:lang w:val="en-US"/>
        </w:rPr>
        <w:t>‘</w:t>
      </w:r>
      <w:r w:rsidRPr="0096258E">
        <w:rPr>
          <w:sz w:val="18"/>
          <w:szCs w:val="18"/>
          <w:lang w:val="en-US"/>
        </w:rPr>
        <w:t>Administrative and Judicial Enforcement in Consumer Protection: The Way Forward</w:t>
      </w:r>
      <w:r>
        <w:rPr>
          <w:sz w:val="18"/>
          <w:szCs w:val="18"/>
          <w:lang w:val="en-US"/>
        </w:rPr>
        <w:t>’ (2008)</w:t>
      </w:r>
      <w:r w:rsidRPr="00F10894">
        <w:rPr>
          <w:sz w:val="18"/>
          <w:szCs w:val="18"/>
          <w:lang w:val="en-US"/>
        </w:rPr>
        <w:t xml:space="preserve"> </w:t>
      </w:r>
      <w:r>
        <w:rPr>
          <w:sz w:val="18"/>
          <w:szCs w:val="18"/>
          <w:lang w:val="en-US"/>
        </w:rPr>
        <w:t>European University Institute Working Papers Law, 3</w:t>
      </w:r>
      <w:r w:rsidRPr="002A3063">
        <w:rPr>
          <w:sz w:val="18"/>
          <w:szCs w:val="18"/>
          <w:lang w:val="en-US"/>
        </w:rPr>
        <w:t xml:space="preserve">-4 </w:t>
      </w:r>
      <w:hyperlink r:id="rId2" w:history="1">
        <w:r w:rsidR="002D2946" w:rsidRPr="00094F48">
          <w:rPr>
            <w:rStyle w:val="Collegamentoipertestuale"/>
            <w:sz w:val="18"/>
            <w:szCs w:val="18"/>
            <w:lang w:val="en-US"/>
          </w:rPr>
          <w:t>https://cadmus.eui.eu/handle/1814/9848</w:t>
        </w:r>
      </w:hyperlink>
      <w:r w:rsidR="002D2946">
        <w:rPr>
          <w:sz w:val="18"/>
          <w:szCs w:val="18"/>
          <w:lang w:val="en-US"/>
        </w:rPr>
        <w:t xml:space="preserve"> </w:t>
      </w:r>
      <w:r w:rsidRPr="002A3063">
        <w:rPr>
          <w:sz w:val="18"/>
          <w:szCs w:val="18"/>
          <w:lang w:val="en-US"/>
        </w:rPr>
        <w:t>accessed 8 December 2022.</w:t>
      </w:r>
    </w:p>
  </w:footnote>
  <w:footnote w:id="19">
    <w:p w14:paraId="6331D4FF" w14:textId="4B1A59A9" w:rsidR="00467B24" w:rsidRPr="00F10894" w:rsidRDefault="00467B24" w:rsidP="00F10894">
      <w:pPr>
        <w:pStyle w:val="Testonotaapidipagina"/>
        <w:spacing w:line="276" w:lineRule="auto"/>
        <w:jc w:val="both"/>
        <w:rPr>
          <w:sz w:val="18"/>
          <w:szCs w:val="18"/>
          <w:lang w:val="en-US"/>
        </w:rPr>
      </w:pPr>
      <w:r w:rsidRPr="00F10894">
        <w:rPr>
          <w:rStyle w:val="Rimandonotaapidipagina"/>
          <w:sz w:val="18"/>
          <w:szCs w:val="18"/>
        </w:rPr>
        <w:footnoteRef/>
      </w:r>
      <w:r>
        <w:rPr>
          <w:sz w:val="18"/>
          <w:szCs w:val="18"/>
          <w:lang w:val="en-US"/>
        </w:rPr>
        <w:t xml:space="preserve"> Alexander Biard</w:t>
      </w:r>
      <w:r w:rsidRPr="00F10894">
        <w:rPr>
          <w:sz w:val="18"/>
          <w:szCs w:val="18"/>
          <w:lang w:val="en-US"/>
        </w:rPr>
        <w:t xml:space="preserve">, </w:t>
      </w:r>
      <w:r w:rsidRPr="0096258E">
        <w:rPr>
          <w:sz w:val="18"/>
          <w:szCs w:val="18"/>
          <w:lang w:val="en-US"/>
        </w:rPr>
        <w:t>‘Collective redress in the EU: a rainbow behind the clouds?’</w:t>
      </w:r>
      <w:r>
        <w:rPr>
          <w:sz w:val="18"/>
          <w:szCs w:val="18"/>
          <w:lang w:val="en-US"/>
        </w:rPr>
        <w:t xml:space="preserve"> 2018</w:t>
      </w:r>
      <w:r w:rsidRPr="00F10894">
        <w:rPr>
          <w:sz w:val="18"/>
          <w:szCs w:val="18"/>
          <w:lang w:val="en-US"/>
        </w:rPr>
        <w:t xml:space="preserve"> </w:t>
      </w:r>
      <w:r w:rsidRPr="0096258E">
        <w:rPr>
          <w:sz w:val="18"/>
          <w:szCs w:val="18"/>
          <w:lang w:val="en-US"/>
        </w:rPr>
        <w:t>ERA Forum</w:t>
      </w:r>
      <w:r>
        <w:rPr>
          <w:i/>
          <w:sz w:val="18"/>
          <w:szCs w:val="18"/>
          <w:lang w:val="en-US"/>
        </w:rPr>
        <w:t xml:space="preserve"> </w:t>
      </w:r>
      <w:r>
        <w:rPr>
          <w:sz w:val="18"/>
          <w:szCs w:val="18"/>
          <w:lang w:val="en-US"/>
        </w:rPr>
        <w:t>189</w:t>
      </w:r>
      <w:r w:rsidRPr="00F10894">
        <w:rPr>
          <w:sz w:val="18"/>
          <w:szCs w:val="18"/>
          <w:lang w:val="en-US"/>
        </w:rPr>
        <w:t xml:space="preserve">. See also </w:t>
      </w:r>
      <w:r>
        <w:rPr>
          <w:sz w:val="18"/>
          <w:szCs w:val="18"/>
          <w:lang w:val="en-US"/>
        </w:rPr>
        <w:t xml:space="preserve">Hans W. Micklitz and Fabrizio Cafaggi ibid </w:t>
      </w:r>
      <w:r w:rsidRPr="00F10894">
        <w:rPr>
          <w:sz w:val="18"/>
          <w:szCs w:val="18"/>
          <w:lang w:val="en-US"/>
        </w:rPr>
        <w:t>2.</w:t>
      </w:r>
    </w:p>
  </w:footnote>
  <w:footnote w:id="20">
    <w:p w14:paraId="0FD36690" w14:textId="27ED7A1E" w:rsidR="00467B24" w:rsidRPr="002A3063" w:rsidRDefault="00467B24" w:rsidP="00F10894">
      <w:pPr>
        <w:pStyle w:val="Testonotaapidipagina"/>
        <w:spacing w:line="276" w:lineRule="auto"/>
        <w:jc w:val="both"/>
        <w:rPr>
          <w:sz w:val="18"/>
          <w:highlight w:val="magenta"/>
          <w:lang w:val="en-US"/>
        </w:rPr>
      </w:pPr>
      <w:r w:rsidRPr="002A3063">
        <w:rPr>
          <w:rStyle w:val="Rimandonotaapidipagina"/>
          <w:sz w:val="18"/>
          <w:szCs w:val="18"/>
        </w:rPr>
        <w:footnoteRef/>
      </w:r>
      <w:r w:rsidRPr="002A3063">
        <w:rPr>
          <w:sz w:val="18"/>
          <w:szCs w:val="18"/>
          <w:lang w:val="en-US"/>
        </w:rPr>
        <w:t xml:space="preserve"> </w:t>
      </w:r>
      <w:r w:rsidRPr="002A3063">
        <w:rPr>
          <w:sz w:val="18"/>
          <w:lang w:val="en-US"/>
        </w:rPr>
        <w:t>Directive (EU) 2020/1828 of the European Parliament and of the Council of 25 November 2020 on representative actions for the protection of the collective interests of consumers and repealing Directive 2009/22/EC [2020] OJ 2 409/1.</w:t>
      </w:r>
    </w:p>
  </w:footnote>
  <w:footnote w:id="21">
    <w:p w14:paraId="0BB3646F" w14:textId="6205584D" w:rsidR="00467B24" w:rsidRPr="00F10894" w:rsidRDefault="00467B24" w:rsidP="00F10894">
      <w:pPr>
        <w:pStyle w:val="ti-doc-dur"/>
        <w:spacing w:before="0" w:beforeAutospacing="0" w:after="0" w:afterAutospacing="0" w:line="276" w:lineRule="auto"/>
        <w:jc w:val="both"/>
        <w:rPr>
          <w:b/>
          <w:bCs/>
          <w:color w:val="333333"/>
          <w:sz w:val="18"/>
          <w:szCs w:val="18"/>
          <w:lang w:val="en-US"/>
        </w:rPr>
      </w:pPr>
      <w:r w:rsidRPr="00F10894">
        <w:rPr>
          <w:rStyle w:val="Rimandonotaapidipagina"/>
          <w:sz w:val="18"/>
          <w:szCs w:val="18"/>
        </w:rPr>
        <w:footnoteRef/>
      </w:r>
      <w:r w:rsidRPr="00F10894">
        <w:rPr>
          <w:sz w:val="18"/>
          <w:szCs w:val="18"/>
          <w:lang w:val="en-US"/>
        </w:rPr>
        <w:t xml:space="preserve"> Communication from the Commission to the European Parliament, the Council and the European</w:t>
      </w:r>
      <w:r>
        <w:rPr>
          <w:sz w:val="18"/>
          <w:szCs w:val="18"/>
          <w:lang w:val="en-US"/>
        </w:rPr>
        <w:t xml:space="preserve"> Economic and Social Committee ‘</w:t>
      </w:r>
      <w:r w:rsidRPr="00F10894">
        <w:rPr>
          <w:sz w:val="18"/>
          <w:szCs w:val="18"/>
          <w:lang w:val="en-US"/>
        </w:rPr>
        <w:t>A Ne</w:t>
      </w:r>
      <w:r>
        <w:rPr>
          <w:sz w:val="18"/>
          <w:szCs w:val="18"/>
          <w:lang w:val="en-US"/>
        </w:rPr>
        <w:t>w Deal for Consumers’ [2018] COM(2018)</w:t>
      </w:r>
      <w:r w:rsidRPr="00F10894">
        <w:rPr>
          <w:sz w:val="18"/>
          <w:szCs w:val="18"/>
          <w:lang w:val="en-US"/>
        </w:rPr>
        <w:t>183 final</w:t>
      </w:r>
      <w:r>
        <w:rPr>
          <w:sz w:val="18"/>
          <w:szCs w:val="18"/>
          <w:lang w:val="en-US"/>
        </w:rPr>
        <w:t>.</w:t>
      </w:r>
      <w:r w:rsidRPr="00F10894">
        <w:rPr>
          <w:sz w:val="18"/>
          <w:szCs w:val="18"/>
          <w:lang w:val="en-US"/>
        </w:rPr>
        <w:t xml:space="preserve"> </w:t>
      </w:r>
      <w:r w:rsidRPr="00F10894">
        <w:rPr>
          <w:bCs/>
          <w:color w:val="000000" w:themeColor="text1"/>
          <w:sz w:val="18"/>
          <w:szCs w:val="18"/>
          <w:lang w:val="en-US"/>
        </w:rPr>
        <w:t>On the New Deal for Consumers and it</w:t>
      </w:r>
      <w:r>
        <w:rPr>
          <w:bCs/>
          <w:color w:val="000000" w:themeColor="text1"/>
          <w:sz w:val="18"/>
          <w:szCs w:val="18"/>
          <w:lang w:val="en-US"/>
        </w:rPr>
        <w:t>s implications for consumer law cf</w:t>
      </w:r>
      <w:r w:rsidRPr="00F10894">
        <w:rPr>
          <w:bCs/>
          <w:color w:val="000000" w:themeColor="text1"/>
          <w:sz w:val="18"/>
          <w:szCs w:val="18"/>
          <w:lang w:val="en-US"/>
        </w:rPr>
        <w:t xml:space="preserve"> </w:t>
      </w:r>
      <w:r w:rsidRPr="00A50573">
        <w:rPr>
          <w:bCs/>
          <w:color w:val="000000" w:themeColor="text1"/>
          <w:sz w:val="18"/>
          <w:szCs w:val="18"/>
          <w:lang w:val="en-US"/>
        </w:rPr>
        <w:t>Mateusz Grochowski, 'European Consumer Law After The New Deal: A Tryptich' [2020] 39(1) Yearbook of Europ</w:t>
      </w:r>
      <w:r>
        <w:rPr>
          <w:bCs/>
          <w:color w:val="000000" w:themeColor="text1"/>
          <w:sz w:val="18"/>
          <w:szCs w:val="18"/>
          <w:lang w:val="en-US"/>
        </w:rPr>
        <w:t xml:space="preserve">ean Law </w:t>
      </w:r>
      <w:r w:rsidRPr="00F10894">
        <w:rPr>
          <w:bCs/>
          <w:color w:val="000000" w:themeColor="text1"/>
          <w:sz w:val="18"/>
          <w:szCs w:val="18"/>
          <w:lang w:val="en-US"/>
        </w:rPr>
        <w:t>387</w:t>
      </w:r>
      <w:r>
        <w:rPr>
          <w:bCs/>
          <w:color w:val="000000" w:themeColor="text1"/>
          <w:sz w:val="18"/>
          <w:szCs w:val="18"/>
          <w:lang w:val="en-US"/>
        </w:rPr>
        <w:t>ff.</w:t>
      </w:r>
    </w:p>
  </w:footnote>
  <w:footnote w:id="22">
    <w:p w14:paraId="7826F1B4" w14:textId="7748524C" w:rsidR="00467B24" w:rsidRPr="002B06CB" w:rsidRDefault="00467B24" w:rsidP="00F10894">
      <w:pPr>
        <w:pStyle w:val="Testonotaapidipagina"/>
        <w:spacing w:line="276" w:lineRule="auto"/>
        <w:jc w:val="both"/>
        <w:rPr>
          <w:sz w:val="18"/>
          <w:lang w:val="en-US"/>
        </w:rPr>
      </w:pPr>
      <w:r w:rsidRPr="00F10894">
        <w:rPr>
          <w:rStyle w:val="Rimandonotaapidipagina"/>
          <w:sz w:val="18"/>
          <w:szCs w:val="18"/>
        </w:rPr>
        <w:footnoteRef/>
      </w:r>
      <w:r w:rsidRPr="00F10894">
        <w:rPr>
          <w:sz w:val="18"/>
          <w:szCs w:val="18"/>
          <w:lang w:val="en-US"/>
        </w:rPr>
        <w:t xml:space="preserve"> </w:t>
      </w:r>
      <w:r w:rsidRPr="002B06CB">
        <w:rPr>
          <w:sz w:val="18"/>
          <w:lang w:val="en-US"/>
        </w:rPr>
        <w:t>Csongor</w:t>
      </w:r>
      <w:r>
        <w:rPr>
          <w:sz w:val="18"/>
          <w:lang w:val="en-US"/>
        </w:rPr>
        <w:t xml:space="preserve"> </w:t>
      </w:r>
      <w:r w:rsidRPr="002B06CB">
        <w:rPr>
          <w:sz w:val="18"/>
          <w:lang w:val="en-US"/>
        </w:rPr>
        <w:t>Istàvn Nagy, </w:t>
      </w:r>
      <w:r w:rsidRPr="002B06CB">
        <w:rPr>
          <w:i/>
          <w:sz w:val="18"/>
          <w:lang w:val="en-US"/>
        </w:rPr>
        <w:t>Collective Actions in Europe: A Comparative, Economic and Transsystemic</w:t>
      </w:r>
      <w:r w:rsidRPr="002B06CB">
        <w:rPr>
          <w:sz w:val="18"/>
          <w:lang w:val="en-US"/>
        </w:rPr>
        <w:t xml:space="preserve"> </w:t>
      </w:r>
      <w:r w:rsidRPr="00B6401A">
        <w:rPr>
          <w:i/>
          <w:sz w:val="18"/>
          <w:lang w:val="en-US"/>
        </w:rPr>
        <w:t>Analysis </w:t>
      </w:r>
      <w:r w:rsidRPr="002B06CB">
        <w:rPr>
          <w:sz w:val="18"/>
          <w:lang w:val="en-US"/>
        </w:rPr>
        <w:t>(Springer 2019) 71</w:t>
      </w:r>
      <w:r>
        <w:rPr>
          <w:sz w:val="18"/>
          <w:lang w:val="en-US"/>
        </w:rPr>
        <w:t>ff.</w:t>
      </w:r>
    </w:p>
  </w:footnote>
  <w:footnote w:id="23">
    <w:p w14:paraId="41E9710C" w14:textId="0D078C41" w:rsidR="00467B24" w:rsidRPr="00F10894" w:rsidRDefault="00467B24" w:rsidP="00F10894">
      <w:pPr>
        <w:pStyle w:val="Testonotaapidipagina"/>
        <w:spacing w:line="276" w:lineRule="auto"/>
        <w:jc w:val="both"/>
        <w:rPr>
          <w:sz w:val="18"/>
          <w:szCs w:val="18"/>
        </w:rPr>
      </w:pPr>
      <w:r w:rsidRPr="0021028E">
        <w:rPr>
          <w:rStyle w:val="Rimandonotaapidipagina"/>
          <w:sz w:val="18"/>
          <w:szCs w:val="18"/>
        </w:rPr>
        <w:footnoteRef/>
      </w:r>
      <w:r w:rsidRPr="0021028E">
        <w:rPr>
          <w:sz w:val="18"/>
          <w:szCs w:val="18"/>
          <w:lang w:val="en-US"/>
        </w:rPr>
        <w:t xml:space="preserve"> On the new Italian law on class action, </w:t>
      </w:r>
      <w:r w:rsidRPr="00B6401A">
        <w:rPr>
          <w:sz w:val="18"/>
          <w:szCs w:val="18"/>
          <w:lang w:val="en-US"/>
        </w:rPr>
        <w:t xml:space="preserve">Bruno Sassani (ed.), </w:t>
      </w:r>
      <w:r w:rsidRPr="00B6401A">
        <w:rPr>
          <w:i/>
          <w:sz w:val="18"/>
          <w:szCs w:val="18"/>
          <w:lang w:val="en-US"/>
        </w:rPr>
        <w:t xml:space="preserve">Class action. </w:t>
      </w:r>
      <w:r w:rsidRPr="0021028E">
        <w:rPr>
          <w:i/>
          <w:sz w:val="18"/>
          <w:szCs w:val="18"/>
        </w:rPr>
        <w:t>Commento sistematico a</w:t>
      </w:r>
      <w:r>
        <w:rPr>
          <w:i/>
          <w:sz w:val="18"/>
          <w:szCs w:val="18"/>
        </w:rPr>
        <w:t>lla legge 12 aprile 2019, n. 31</w:t>
      </w:r>
      <w:r w:rsidRPr="0021028E">
        <w:rPr>
          <w:i/>
          <w:sz w:val="18"/>
          <w:szCs w:val="18"/>
        </w:rPr>
        <w:t xml:space="preserve"> </w:t>
      </w:r>
      <w:r>
        <w:rPr>
          <w:sz w:val="18"/>
          <w:szCs w:val="18"/>
        </w:rPr>
        <w:t xml:space="preserve">(Pacini Giuridica </w:t>
      </w:r>
      <w:r w:rsidRPr="0021028E">
        <w:rPr>
          <w:sz w:val="18"/>
          <w:szCs w:val="18"/>
        </w:rPr>
        <w:t>2019</w:t>
      </w:r>
      <w:r>
        <w:rPr>
          <w:sz w:val="18"/>
          <w:szCs w:val="18"/>
        </w:rPr>
        <w:t>)</w:t>
      </w:r>
      <w:r w:rsidRPr="0021028E">
        <w:rPr>
          <w:i/>
          <w:sz w:val="18"/>
          <w:szCs w:val="18"/>
        </w:rPr>
        <w:t>;</w:t>
      </w:r>
      <w:r w:rsidRPr="0021028E">
        <w:rPr>
          <w:sz w:val="18"/>
          <w:szCs w:val="18"/>
        </w:rPr>
        <w:t xml:space="preserve"> </w:t>
      </w:r>
      <w:r>
        <w:rPr>
          <w:sz w:val="18"/>
          <w:szCs w:val="18"/>
        </w:rPr>
        <w:t>Andrea Giussani</w:t>
      </w:r>
      <w:r w:rsidRPr="0021028E">
        <w:rPr>
          <w:sz w:val="18"/>
          <w:szCs w:val="18"/>
        </w:rPr>
        <w:t xml:space="preserve">, </w:t>
      </w:r>
      <w:r>
        <w:rPr>
          <w:sz w:val="18"/>
          <w:szCs w:val="18"/>
        </w:rPr>
        <w:t>‘</w:t>
      </w:r>
      <w:r w:rsidRPr="00A8789B">
        <w:rPr>
          <w:sz w:val="18"/>
          <w:szCs w:val="18"/>
        </w:rPr>
        <w:t>La riforma dell’azione di classe</w:t>
      </w:r>
      <w:r>
        <w:rPr>
          <w:sz w:val="18"/>
          <w:szCs w:val="18"/>
        </w:rPr>
        <w:t>’ (2019) 74(6)</w:t>
      </w:r>
      <w:r w:rsidRPr="0021028E">
        <w:rPr>
          <w:i/>
          <w:sz w:val="18"/>
          <w:szCs w:val="18"/>
        </w:rPr>
        <w:t xml:space="preserve"> </w:t>
      </w:r>
      <w:r w:rsidRPr="001B413D">
        <w:rPr>
          <w:sz w:val="18"/>
          <w:szCs w:val="18"/>
        </w:rPr>
        <w:t>Rivista di diritto processuale</w:t>
      </w:r>
      <w:r>
        <w:rPr>
          <w:i/>
          <w:sz w:val="18"/>
          <w:szCs w:val="18"/>
        </w:rPr>
        <w:t xml:space="preserve"> </w:t>
      </w:r>
      <w:r>
        <w:rPr>
          <w:sz w:val="18"/>
          <w:szCs w:val="18"/>
        </w:rPr>
        <w:t>1572ff; Claudio Consolo</w:t>
      </w:r>
      <w:r w:rsidRPr="0021028E">
        <w:rPr>
          <w:sz w:val="18"/>
          <w:szCs w:val="18"/>
        </w:rPr>
        <w:t xml:space="preserve">, </w:t>
      </w:r>
      <w:r>
        <w:rPr>
          <w:sz w:val="18"/>
          <w:szCs w:val="18"/>
        </w:rPr>
        <w:t>‘</w:t>
      </w:r>
      <w:r w:rsidRPr="002B06CB">
        <w:rPr>
          <w:sz w:val="18"/>
          <w:szCs w:val="18"/>
        </w:rPr>
        <w:t>L’azione di classe, trifasica, infine inserita nel c.p.c</w:t>
      </w:r>
      <w:r>
        <w:rPr>
          <w:sz w:val="18"/>
          <w:szCs w:val="18"/>
        </w:rPr>
        <w:t xml:space="preserve">’ (2020) 75(2) </w:t>
      </w:r>
      <w:r w:rsidRPr="004C351B">
        <w:rPr>
          <w:sz w:val="18"/>
          <w:szCs w:val="18"/>
        </w:rPr>
        <w:t xml:space="preserve">Rivista di diritto processuale </w:t>
      </w:r>
      <w:r w:rsidRPr="008476A8">
        <w:rPr>
          <w:sz w:val="18"/>
          <w:szCs w:val="18"/>
        </w:rPr>
        <w:t>714</w:t>
      </w:r>
      <w:r>
        <w:rPr>
          <w:sz w:val="18"/>
          <w:szCs w:val="18"/>
        </w:rPr>
        <w:t xml:space="preserve">ff; </w:t>
      </w:r>
      <w:r w:rsidRPr="00B6401A">
        <w:rPr>
          <w:sz w:val="18"/>
          <w:szCs w:val="18"/>
        </w:rPr>
        <w:t xml:space="preserve">Ugo Ruffolo (ed.), </w:t>
      </w:r>
      <w:r w:rsidRPr="00B6401A">
        <w:rPr>
          <w:i/>
          <w:sz w:val="18"/>
          <w:szCs w:val="18"/>
        </w:rPr>
        <w:t xml:space="preserve">Class action ed azione collettiva inibitoria. </w:t>
      </w:r>
      <w:r w:rsidRPr="0021028E">
        <w:rPr>
          <w:i/>
          <w:sz w:val="18"/>
          <w:szCs w:val="18"/>
        </w:rPr>
        <w:t>Commento sistematico alla legge 12 aprile 2019, n. 31</w:t>
      </w:r>
      <w:r>
        <w:rPr>
          <w:i/>
          <w:sz w:val="18"/>
          <w:szCs w:val="18"/>
        </w:rPr>
        <w:t xml:space="preserve"> </w:t>
      </w:r>
      <w:r>
        <w:rPr>
          <w:sz w:val="18"/>
          <w:szCs w:val="18"/>
        </w:rPr>
        <w:t>(Giuffrè</w:t>
      </w:r>
      <w:r w:rsidRPr="0021028E">
        <w:rPr>
          <w:sz w:val="18"/>
          <w:szCs w:val="18"/>
        </w:rPr>
        <w:t xml:space="preserve"> 2021</w:t>
      </w:r>
      <w:r>
        <w:rPr>
          <w:sz w:val="18"/>
          <w:szCs w:val="18"/>
        </w:rPr>
        <w:t>)</w:t>
      </w:r>
      <w:r>
        <w:rPr>
          <w:i/>
          <w:sz w:val="18"/>
          <w:szCs w:val="18"/>
        </w:rPr>
        <w:t>.</w:t>
      </w:r>
    </w:p>
  </w:footnote>
  <w:footnote w:id="24">
    <w:p w14:paraId="36FD544C" w14:textId="0BD3F356" w:rsidR="00467B24" w:rsidRPr="008F7C0E" w:rsidRDefault="00467B24" w:rsidP="00F10894">
      <w:pPr>
        <w:pStyle w:val="Testonotaapidipagina"/>
        <w:spacing w:line="276" w:lineRule="auto"/>
        <w:jc w:val="both"/>
        <w:rPr>
          <w:sz w:val="18"/>
          <w:szCs w:val="18"/>
        </w:rPr>
      </w:pPr>
      <w:r w:rsidRPr="00F10894">
        <w:rPr>
          <w:rStyle w:val="Rimandonotaapidipagina"/>
          <w:sz w:val="18"/>
          <w:szCs w:val="18"/>
        </w:rPr>
        <w:footnoteRef/>
      </w:r>
      <w:r w:rsidRPr="008F7C0E">
        <w:rPr>
          <w:sz w:val="18"/>
          <w:szCs w:val="18"/>
        </w:rPr>
        <w:t xml:space="preserve"> </w:t>
      </w:r>
      <w:r w:rsidRPr="008F7C0E">
        <w:rPr>
          <w:sz w:val="18"/>
        </w:rPr>
        <w:t>Csongor Istàvn Nagy</w:t>
      </w:r>
      <w:r w:rsidRPr="008F7C0E">
        <w:rPr>
          <w:sz w:val="18"/>
          <w:szCs w:val="18"/>
        </w:rPr>
        <w:t xml:space="preserve"> (n. 23) 24ff.</w:t>
      </w:r>
    </w:p>
  </w:footnote>
  <w:footnote w:id="25">
    <w:p w14:paraId="23687F88" w14:textId="22079677" w:rsidR="00467B24" w:rsidRPr="006178BE" w:rsidRDefault="00467B24" w:rsidP="006178BE">
      <w:pPr>
        <w:pStyle w:val="Testonotaapidipagina"/>
        <w:spacing w:line="276" w:lineRule="auto"/>
        <w:jc w:val="both"/>
        <w:rPr>
          <w:sz w:val="18"/>
          <w:szCs w:val="18"/>
          <w:lang w:val="en-US"/>
        </w:rPr>
      </w:pPr>
      <w:r w:rsidRPr="006178BE">
        <w:rPr>
          <w:rStyle w:val="Rimandonotaapidipagina"/>
          <w:sz w:val="18"/>
          <w:szCs w:val="18"/>
        </w:rPr>
        <w:footnoteRef/>
      </w:r>
      <w:r>
        <w:rPr>
          <w:sz w:val="18"/>
          <w:szCs w:val="18"/>
          <w:lang w:val="en-US"/>
        </w:rPr>
        <w:t xml:space="preserve"> The term: ‘</w:t>
      </w:r>
      <w:r w:rsidRPr="006178BE">
        <w:rPr>
          <w:sz w:val="18"/>
          <w:szCs w:val="18"/>
          <w:lang w:val="en-US"/>
        </w:rPr>
        <w:t xml:space="preserve">subjective limits of </w:t>
      </w:r>
      <w:r w:rsidRPr="006178BE">
        <w:rPr>
          <w:i/>
          <w:sz w:val="18"/>
          <w:szCs w:val="18"/>
          <w:lang w:val="en-US"/>
        </w:rPr>
        <w:t>res judicata</w:t>
      </w:r>
      <w:r>
        <w:rPr>
          <w:sz w:val="18"/>
          <w:szCs w:val="18"/>
          <w:lang w:val="en-US"/>
        </w:rPr>
        <w:t xml:space="preserve">’ refers to who is bound by the effects of a judgment. </w:t>
      </w:r>
    </w:p>
  </w:footnote>
  <w:footnote w:id="26">
    <w:p w14:paraId="20465EB1" w14:textId="06DB5FD2" w:rsidR="00467B24" w:rsidRPr="00C50CD4" w:rsidRDefault="00467B24" w:rsidP="00E916FF">
      <w:pPr>
        <w:pStyle w:val="Testonotaapidipagina"/>
        <w:spacing w:line="276" w:lineRule="auto"/>
        <w:jc w:val="both"/>
        <w:rPr>
          <w:sz w:val="18"/>
          <w:szCs w:val="18"/>
          <w:lang w:val="en-US"/>
        </w:rPr>
      </w:pPr>
      <w:r w:rsidRPr="005B7FF7">
        <w:rPr>
          <w:rStyle w:val="Rimandonotaapidipagina"/>
          <w:sz w:val="18"/>
          <w:szCs w:val="18"/>
        </w:rPr>
        <w:footnoteRef/>
      </w:r>
      <w:r w:rsidRPr="00C50CD4">
        <w:rPr>
          <w:sz w:val="18"/>
          <w:szCs w:val="18"/>
          <w:lang w:val="en-US"/>
        </w:rPr>
        <w:t xml:space="preserve"> </w:t>
      </w:r>
      <w:r>
        <w:rPr>
          <w:sz w:val="18"/>
          <w:szCs w:val="18"/>
          <w:lang w:val="en-US"/>
        </w:rPr>
        <w:t>See art 24, Italian Constitution: ‘</w:t>
      </w:r>
      <w:r w:rsidRPr="00DD7690">
        <w:rPr>
          <w:sz w:val="18"/>
          <w:szCs w:val="18"/>
          <w:lang w:val="en-US"/>
        </w:rPr>
        <w:t>Everyone can start a legal claim to protect their rights and legitimate interests</w:t>
      </w:r>
      <w:r>
        <w:rPr>
          <w:sz w:val="18"/>
          <w:szCs w:val="18"/>
          <w:lang w:val="en-US"/>
        </w:rPr>
        <w:t>’ (‘</w:t>
      </w:r>
      <w:r w:rsidRPr="00E916FF">
        <w:rPr>
          <w:i/>
          <w:sz w:val="18"/>
          <w:szCs w:val="18"/>
          <w:lang w:val="en-US"/>
        </w:rPr>
        <w:t>Tutti possono agire in giudizio per la tutela dei propri diritti e interessi legittimi</w:t>
      </w:r>
      <w:r>
        <w:rPr>
          <w:sz w:val="18"/>
          <w:szCs w:val="18"/>
          <w:lang w:val="en-US"/>
        </w:rPr>
        <w:t>’).</w:t>
      </w:r>
    </w:p>
  </w:footnote>
  <w:footnote w:id="27">
    <w:p w14:paraId="551AE1A5" w14:textId="1CDCD292" w:rsidR="00467B24" w:rsidRPr="00277717" w:rsidRDefault="00467B24" w:rsidP="00E916FF">
      <w:pPr>
        <w:pStyle w:val="Testonotaapidipagina"/>
        <w:spacing w:line="276" w:lineRule="auto"/>
        <w:jc w:val="both"/>
        <w:rPr>
          <w:sz w:val="18"/>
          <w:szCs w:val="18"/>
          <w:lang w:val="en-US"/>
        </w:rPr>
      </w:pPr>
      <w:r w:rsidRPr="00277717">
        <w:rPr>
          <w:rStyle w:val="Rimandonotaapidipagina"/>
          <w:sz w:val="18"/>
          <w:szCs w:val="18"/>
        </w:rPr>
        <w:footnoteRef/>
      </w:r>
      <w:r w:rsidRPr="00277717">
        <w:rPr>
          <w:sz w:val="18"/>
          <w:szCs w:val="18"/>
          <w:lang w:val="en-US"/>
        </w:rPr>
        <w:t xml:space="preserve"> </w:t>
      </w:r>
      <w:r>
        <w:rPr>
          <w:sz w:val="18"/>
          <w:szCs w:val="18"/>
          <w:lang w:val="en-US"/>
        </w:rPr>
        <w:t>In Italian law, the dispositive principle is laid down in art 2907, para. 1, Italian Civil Code (‘Jurisdictional protection is provided by the judiciary, at the request of the interested party’); art 99, Italian Civil Procedure Code (‘Who wants to assert a right in court must bring a claim before the competent judge’); art 115, para. 1, Italian Civil Procedure Code (‘Courts must base their decisions on the basis of the evidence offered by parties or by the public prosecutor, or on the facts which were not specifically contested by the parties during the proceeding, except for the specific cases laid down by law’).</w:t>
      </w:r>
    </w:p>
  </w:footnote>
  <w:footnote w:id="28">
    <w:p w14:paraId="293FFC57" w14:textId="76FC40A8" w:rsidR="00467B24" w:rsidRPr="00A43B5F" w:rsidRDefault="00467B24" w:rsidP="00A615CC">
      <w:pPr>
        <w:pStyle w:val="Testonotaapidipagina"/>
        <w:spacing w:line="276" w:lineRule="auto"/>
        <w:jc w:val="both"/>
        <w:rPr>
          <w:sz w:val="18"/>
          <w:szCs w:val="18"/>
          <w:lang w:val="en-US"/>
        </w:rPr>
      </w:pPr>
      <w:r w:rsidRPr="00515640">
        <w:rPr>
          <w:rStyle w:val="Rimandonotaapidipagina"/>
          <w:sz w:val="18"/>
          <w:szCs w:val="18"/>
        </w:rPr>
        <w:footnoteRef/>
      </w:r>
      <w:r w:rsidRPr="00515640">
        <w:rPr>
          <w:sz w:val="18"/>
          <w:szCs w:val="18"/>
          <w:lang w:val="en-US"/>
        </w:rPr>
        <w:t xml:space="preserve"> </w:t>
      </w:r>
      <w:r>
        <w:rPr>
          <w:sz w:val="18"/>
          <w:szCs w:val="18"/>
          <w:lang w:val="en-US"/>
        </w:rPr>
        <w:t xml:space="preserve">Again, in the Italian legal system, this is provided for in art 81, Italian Civil Procedure Code (‘No one can assert someone else’s rights in court, except for the specific cases laid down by law’). For a general perspective on the principle of party presentation in civil law countries’ proceedings, see Oscar G. Chase, Helen Hershkoff, Linda J. Silberman, John Sorabji, Rolf Stürner, Yasuhei Taniguchi and Vincenzo Varano, </w:t>
      </w:r>
      <w:r w:rsidRPr="00515640">
        <w:rPr>
          <w:i/>
          <w:sz w:val="18"/>
          <w:szCs w:val="18"/>
          <w:lang w:val="en-US"/>
        </w:rPr>
        <w:t>Civil Litigation in Comparative Context</w:t>
      </w:r>
      <w:r>
        <w:rPr>
          <w:sz w:val="18"/>
          <w:szCs w:val="18"/>
          <w:lang w:val="en-US"/>
        </w:rPr>
        <w:t xml:space="preserve"> (2</w:t>
      </w:r>
      <w:r w:rsidRPr="004C351B">
        <w:rPr>
          <w:sz w:val="18"/>
          <w:szCs w:val="18"/>
          <w:vertAlign w:val="superscript"/>
          <w:lang w:val="en-US"/>
        </w:rPr>
        <w:t>nd</w:t>
      </w:r>
      <w:r>
        <w:rPr>
          <w:sz w:val="18"/>
          <w:szCs w:val="18"/>
          <w:lang w:val="en-US"/>
        </w:rPr>
        <w:t xml:space="preserve"> edn, West Academic Publishing 2017) 10.</w:t>
      </w:r>
    </w:p>
  </w:footnote>
  <w:footnote w:id="29">
    <w:p w14:paraId="2006BBF8" w14:textId="7AAD503C" w:rsidR="00467B24" w:rsidRPr="00B6401A" w:rsidRDefault="00467B24" w:rsidP="00735415">
      <w:pPr>
        <w:pStyle w:val="Testonotaapidipagina"/>
        <w:spacing w:line="276" w:lineRule="auto"/>
        <w:jc w:val="both"/>
        <w:rPr>
          <w:sz w:val="18"/>
          <w:szCs w:val="18"/>
          <w:lang w:val="en-US"/>
        </w:rPr>
      </w:pPr>
      <w:r w:rsidRPr="00E700E5">
        <w:rPr>
          <w:rStyle w:val="Rimandonotaapidipagina"/>
          <w:sz w:val="18"/>
          <w:szCs w:val="18"/>
        </w:rPr>
        <w:footnoteRef/>
      </w:r>
      <w:r w:rsidRPr="00C81D00">
        <w:rPr>
          <w:sz w:val="18"/>
          <w:szCs w:val="18"/>
          <w:lang w:val="en-US"/>
        </w:rPr>
        <w:t xml:space="preserve"> </w:t>
      </w:r>
      <w:r>
        <w:rPr>
          <w:sz w:val="18"/>
          <w:szCs w:val="18"/>
          <w:lang w:val="en-US"/>
        </w:rPr>
        <w:t xml:space="preserve">In Italian law, this principle is enshrined in art 2909 of the Italian Civil Code. </w:t>
      </w:r>
      <w:r>
        <w:rPr>
          <w:sz w:val="18"/>
          <w:szCs w:val="18"/>
        </w:rPr>
        <w:t>On the rule</w:t>
      </w:r>
      <w:r w:rsidRPr="00735415">
        <w:rPr>
          <w:sz w:val="18"/>
          <w:szCs w:val="18"/>
        </w:rPr>
        <w:t xml:space="preserve"> of </w:t>
      </w:r>
      <w:r w:rsidRPr="00735415">
        <w:rPr>
          <w:i/>
          <w:sz w:val="18"/>
          <w:szCs w:val="18"/>
        </w:rPr>
        <w:t>res judicata,</w:t>
      </w:r>
      <w:r w:rsidRPr="00735415">
        <w:rPr>
          <w:sz w:val="18"/>
          <w:szCs w:val="18"/>
        </w:rPr>
        <w:t xml:space="preserve"> see the landmark work of</w:t>
      </w:r>
      <w:r w:rsidRPr="00735415">
        <w:rPr>
          <w:i/>
          <w:sz w:val="18"/>
          <w:szCs w:val="18"/>
        </w:rPr>
        <w:t xml:space="preserve"> </w:t>
      </w:r>
      <w:r>
        <w:rPr>
          <w:sz w:val="18"/>
          <w:szCs w:val="18"/>
        </w:rPr>
        <w:t>Francesco Paolo Luiso</w:t>
      </w:r>
      <w:r w:rsidRPr="00735415">
        <w:rPr>
          <w:sz w:val="18"/>
          <w:szCs w:val="18"/>
        </w:rPr>
        <w:t xml:space="preserve">, </w:t>
      </w:r>
      <w:r w:rsidRPr="00735415">
        <w:rPr>
          <w:i/>
          <w:sz w:val="18"/>
          <w:szCs w:val="18"/>
        </w:rPr>
        <w:t>Principio del contraddittorio ed efficacia della sentenza verso i terzi</w:t>
      </w:r>
      <w:r>
        <w:rPr>
          <w:sz w:val="18"/>
          <w:szCs w:val="18"/>
        </w:rPr>
        <w:t xml:space="preserve"> (Giuffré </w:t>
      </w:r>
      <w:r w:rsidRPr="00735415">
        <w:rPr>
          <w:sz w:val="18"/>
          <w:szCs w:val="18"/>
        </w:rPr>
        <w:t>1981</w:t>
      </w:r>
      <w:r>
        <w:rPr>
          <w:sz w:val="18"/>
          <w:szCs w:val="18"/>
        </w:rPr>
        <w:t>)</w:t>
      </w:r>
      <w:r w:rsidRPr="00735415">
        <w:rPr>
          <w:sz w:val="18"/>
          <w:szCs w:val="18"/>
        </w:rPr>
        <w:t xml:space="preserve">. </w:t>
      </w:r>
      <w:r w:rsidRPr="00B6401A">
        <w:rPr>
          <w:sz w:val="18"/>
          <w:szCs w:val="18"/>
          <w:lang w:val="en-US"/>
        </w:rPr>
        <w:t xml:space="preserve">On the rules of </w:t>
      </w:r>
      <w:r w:rsidRPr="00B6401A">
        <w:rPr>
          <w:i/>
          <w:sz w:val="18"/>
          <w:szCs w:val="18"/>
          <w:lang w:val="en-US"/>
        </w:rPr>
        <w:t xml:space="preserve">res judicata </w:t>
      </w:r>
      <w:r w:rsidRPr="00B6401A">
        <w:rPr>
          <w:sz w:val="18"/>
          <w:szCs w:val="18"/>
          <w:lang w:val="en-US"/>
        </w:rPr>
        <w:t xml:space="preserve">and their relationship with aggregate litigation, see Michele Taruffo, ‘“Collateral estoppel” e giudicato sulle questioni’, II (1972) </w:t>
      </w:r>
      <w:r>
        <w:rPr>
          <w:sz w:val="18"/>
          <w:szCs w:val="18"/>
          <w:lang w:val="en-US"/>
        </w:rPr>
        <w:t>22 Rivist</w:t>
      </w:r>
      <w:r w:rsidRPr="00B6401A">
        <w:rPr>
          <w:sz w:val="18"/>
          <w:szCs w:val="18"/>
          <w:lang w:val="en-US"/>
        </w:rPr>
        <w:t xml:space="preserve">a di Diritto Processuale 272; </w:t>
      </w:r>
      <w:r>
        <w:rPr>
          <w:sz w:val="18"/>
          <w:szCs w:val="18"/>
          <w:lang w:val="en-US"/>
        </w:rPr>
        <w:t>Mauro Cappelletti and Bryant G. Garth,</w:t>
      </w:r>
      <w:r w:rsidRPr="00735415">
        <w:rPr>
          <w:sz w:val="18"/>
          <w:szCs w:val="18"/>
          <w:lang w:val="en-US"/>
        </w:rPr>
        <w:t xml:space="preserve"> </w:t>
      </w:r>
      <w:r>
        <w:rPr>
          <w:sz w:val="18"/>
          <w:szCs w:val="18"/>
          <w:lang w:val="en-US"/>
        </w:rPr>
        <w:t>‘</w:t>
      </w:r>
      <w:r w:rsidRPr="004C351B">
        <w:rPr>
          <w:sz w:val="18"/>
          <w:szCs w:val="18"/>
          <w:lang w:val="en-US"/>
        </w:rPr>
        <w:t>Access to Justice: The Newest Wave in the Worldwide Movement to Make Rights Effective</w:t>
      </w:r>
      <w:r>
        <w:rPr>
          <w:sz w:val="18"/>
          <w:szCs w:val="18"/>
          <w:lang w:val="en-US"/>
        </w:rPr>
        <w:t>’ (1978) 181 (27) Buffalo L Rev 210.</w:t>
      </w:r>
    </w:p>
  </w:footnote>
  <w:footnote w:id="30">
    <w:p w14:paraId="0D3F69DE" w14:textId="76D74310" w:rsidR="00467B24" w:rsidRPr="006062D4" w:rsidRDefault="00467B24" w:rsidP="00FD330F">
      <w:pPr>
        <w:pStyle w:val="Testonotaapidipagina"/>
        <w:spacing w:line="276" w:lineRule="auto"/>
        <w:jc w:val="both"/>
        <w:rPr>
          <w:sz w:val="18"/>
          <w:szCs w:val="18"/>
          <w:lang w:val="en-US"/>
        </w:rPr>
      </w:pPr>
      <w:r w:rsidRPr="007A0CAE">
        <w:rPr>
          <w:rStyle w:val="Rimandonotaapidipagina"/>
          <w:color w:val="000000" w:themeColor="text1"/>
          <w:sz w:val="18"/>
          <w:szCs w:val="18"/>
        </w:rPr>
        <w:footnoteRef/>
      </w:r>
      <w:r w:rsidRPr="007A0CAE">
        <w:rPr>
          <w:color w:val="000000" w:themeColor="text1"/>
          <w:sz w:val="18"/>
          <w:szCs w:val="18"/>
          <w:lang w:val="en-US"/>
        </w:rPr>
        <w:t xml:space="preserve"> </w:t>
      </w:r>
      <w:r>
        <w:rPr>
          <w:color w:val="000000" w:themeColor="text1"/>
          <w:sz w:val="18"/>
          <w:szCs w:val="18"/>
          <w:lang w:val="en-US"/>
        </w:rPr>
        <w:t>Rebecca Money-Kyrle and Christopher Hodges, ‘</w:t>
      </w:r>
      <w:r w:rsidRPr="00594392">
        <w:rPr>
          <w:color w:val="000000" w:themeColor="text1"/>
          <w:sz w:val="18"/>
          <w:szCs w:val="18"/>
          <w:lang w:val="en-US"/>
        </w:rPr>
        <w:t>European Collective Action: Towards Coherence</w:t>
      </w:r>
      <w:r>
        <w:rPr>
          <w:color w:val="000000" w:themeColor="text1"/>
          <w:sz w:val="18"/>
          <w:szCs w:val="18"/>
          <w:lang w:val="en-US"/>
        </w:rPr>
        <w:t>’ (2012) Maastricht J Eur &amp; Comp L 496.</w:t>
      </w:r>
    </w:p>
  </w:footnote>
  <w:footnote w:id="31">
    <w:p w14:paraId="63F143CA" w14:textId="2953CE95" w:rsidR="00467B24" w:rsidRPr="00CF3729" w:rsidRDefault="00467B24" w:rsidP="00CF3729">
      <w:pPr>
        <w:pStyle w:val="Testonotaapidipagina"/>
        <w:spacing w:line="276" w:lineRule="auto"/>
        <w:jc w:val="both"/>
        <w:rPr>
          <w:sz w:val="18"/>
          <w:szCs w:val="18"/>
          <w:lang w:val="en-US"/>
        </w:rPr>
      </w:pPr>
      <w:r w:rsidRPr="00E700E5">
        <w:rPr>
          <w:rStyle w:val="Rimandonotaapidipagina"/>
          <w:sz w:val="18"/>
          <w:szCs w:val="18"/>
        </w:rPr>
        <w:footnoteRef/>
      </w:r>
      <w:r w:rsidRPr="00E700E5">
        <w:rPr>
          <w:sz w:val="18"/>
          <w:szCs w:val="18"/>
          <w:lang w:val="en-US"/>
        </w:rPr>
        <w:t xml:space="preserve"> </w:t>
      </w:r>
      <w:r>
        <w:rPr>
          <w:sz w:val="18"/>
          <w:szCs w:val="18"/>
          <w:lang w:val="en-US"/>
        </w:rPr>
        <w:t xml:space="preserve">Opt-in systems require individuals to take a positive action to be included in an aggregate proceeding. On the contrary, in opt-out systems individuals who do not want to be bound by the outcome of a judgment should take a positive action to be excluded by the proceeding. On the advantages and disadvantages of opt-in and opt-out models, see Rachel Mulheron, </w:t>
      </w:r>
      <w:r w:rsidRPr="00E700E5">
        <w:rPr>
          <w:i/>
          <w:sz w:val="18"/>
          <w:szCs w:val="18"/>
          <w:lang w:val="en-US"/>
        </w:rPr>
        <w:t>The Class Action in Common Law Legal Systems: A Comparative Perspective</w:t>
      </w:r>
      <w:r>
        <w:rPr>
          <w:sz w:val="18"/>
          <w:szCs w:val="18"/>
          <w:lang w:val="en-US"/>
        </w:rPr>
        <w:t xml:space="preserve"> (Hart Publishing 2004) 37ff.</w:t>
      </w:r>
    </w:p>
  </w:footnote>
  <w:footnote w:id="32">
    <w:p w14:paraId="1B9AE18F" w14:textId="2C1D963C" w:rsidR="00467B24" w:rsidRPr="00F10894" w:rsidRDefault="00467B24" w:rsidP="00F10894">
      <w:pPr>
        <w:pStyle w:val="Testonotaapidipagina"/>
        <w:spacing w:line="276" w:lineRule="auto"/>
        <w:jc w:val="both"/>
        <w:rPr>
          <w:sz w:val="18"/>
          <w:szCs w:val="18"/>
          <w:lang w:val="en-US"/>
        </w:rPr>
      </w:pPr>
      <w:r w:rsidRPr="00F10894">
        <w:rPr>
          <w:rStyle w:val="Rimandonotaapidipagina"/>
          <w:sz w:val="18"/>
          <w:szCs w:val="18"/>
        </w:rPr>
        <w:footnoteRef/>
      </w:r>
      <w:r w:rsidRPr="00F10894">
        <w:rPr>
          <w:sz w:val="18"/>
          <w:szCs w:val="18"/>
          <w:lang w:val="en-US"/>
        </w:rPr>
        <w:t xml:space="preserve"> Please note that in this paper the term ‘collective redress' is </w:t>
      </w:r>
      <w:r>
        <w:rPr>
          <w:sz w:val="18"/>
          <w:szCs w:val="18"/>
          <w:lang w:val="en-US"/>
        </w:rPr>
        <w:t>used broadly, in the sense of: ‘</w:t>
      </w:r>
      <w:r w:rsidRPr="00F10894">
        <w:rPr>
          <w:sz w:val="18"/>
          <w:szCs w:val="18"/>
          <w:lang w:val="en-US"/>
        </w:rPr>
        <w:t>a broad concept encompassing any mechanism that may accomplish the cessation or prevention of unlawful business practices which affect a multitude of claimants or the compensation for th</w:t>
      </w:r>
      <w:r>
        <w:rPr>
          <w:sz w:val="18"/>
          <w:szCs w:val="18"/>
          <w:lang w:val="en-US"/>
        </w:rPr>
        <w:t>e harm caused by such practices’</w:t>
      </w:r>
      <w:r w:rsidRPr="00F10894">
        <w:rPr>
          <w:sz w:val="18"/>
          <w:szCs w:val="18"/>
          <w:lang w:val="en-US"/>
        </w:rPr>
        <w:t xml:space="preserve"> (Commission Staff Working Document, Public Consultation: Towards a Coherent Approach to Collective Redress, SEC(2011)173 final, </w:t>
      </w:r>
      <w:r>
        <w:rPr>
          <w:sz w:val="18"/>
          <w:szCs w:val="18"/>
          <w:lang w:val="en-US"/>
        </w:rPr>
        <w:t xml:space="preserve">cited in Nikitas E. </w:t>
      </w:r>
      <w:r w:rsidRPr="00F10894">
        <w:rPr>
          <w:sz w:val="18"/>
          <w:szCs w:val="18"/>
          <w:lang w:val="en-US"/>
        </w:rPr>
        <w:t xml:space="preserve">Hatzimihail, </w:t>
      </w:r>
      <w:r>
        <w:rPr>
          <w:sz w:val="18"/>
          <w:szCs w:val="18"/>
          <w:lang w:val="en-US"/>
        </w:rPr>
        <w:t>‘</w:t>
      </w:r>
      <w:r w:rsidRPr="00694816">
        <w:rPr>
          <w:sz w:val="18"/>
          <w:szCs w:val="18"/>
          <w:lang w:val="en-US"/>
        </w:rPr>
        <w:t>Collective Redress and Global Governance (Concluding Remarks)</w:t>
      </w:r>
      <w:r>
        <w:rPr>
          <w:sz w:val="18"/>
          <w:szCs w:val="18"/>
          <w:lang w:val="en-US"/>
        </w:rPr>
        <w:t xml:space="preserve">’ in </w:t>
      </w:r>
      <w:r w:rsidRPr="00694816">
        <w:rPr>
          <w:sz w:val="18"/>
          <w:szCs w:val="18"/>
          <w:lang w:val="en-US"/>
        </w:rPr>
        <w:t xml:space="preserve">Arnaud Nuyts and Nikitas Hatzimihail (eds), </w:t>
      </w:r>
      <w:r w:rsidRPr="00B6401A">
        <w:rPr>
          <w:i/>
          <w:sz w:val="18"/>
          <w:szCs w:val="18"/>
          <w:lang w:val="en-US"/>
        </w:rPr>
        <w:t>Cross-Border Class Actions, The European Way</w:t>
      </w:r>
      <w:r w:rsidRPr="00694816">
        <w:rPr>
          <w:sz w:val="18"/>
          <w:szCs w:val="18"/>
          <w:lang w:val="en-US"/>
        </w:rPr>
        <w:t xml:space="preserve"> (Sellier European Law Publishers 2014) 315</w:t>
      </w:r>
      <w:r>
        <w:rPr>
          <w:sz w:val="18"/>
          <w:szCs w:val="18"/>
          <w:lang w:val="en-US"/>
        </w:rPr>
        <w:t>.</w:t>
      </w:r>
    </w:p>
  </w:footnote>
  <w:footnote w:id="33">
    <w:p w14:paraId="268DFB37" w14:textId="30BE52F8" w:rsidR="00467B24" w:rsidRPr="003E1BFE" w:rsidRDefault="00467B24" w:rsidP="00F10894">
      <w:pPr>
        <w:pStyle w:val="Testonotaapidipagina"/>
        <w:spacing w:line="276" w:lineRule="auto"/>
        <w:jc w:val="both"/>
        <w:rPr>
          <w:sz w:val="18"/>
          <w:szCs w:val="18"/>
          <w:lang w:val="en-US"/>
        </w:rPr>
      </w:pPr>
      <w:r w:rsidRPr="0085599D">
        <w:rPr>
          <w:rStyle w:val="Rimandonotaapidipagina"/>
          <w:sz w:val="18"/>
          <w:szCs w:val="18"/>
        </w:rPr>
        <w:footnoteRef/>
      </w:r>
      <w:r w:rsidRPr="0085599D">
        <w:rPr>
          <w:sz w:val="18"/>
          <w:szCs w:val="18"/>
          <w:lang w:val="en-US"/>
        </w:rPr>
        <w:t xml:space="preserve"> </w:t>
      </w:r>
      <w:r w:rsidRPr="0085599D">
        <w:rPr>
          <w:sz w:val="18"/>
          <w:lang w:val="en-US"/>
        </w:rPr>
        <w:t xml:space="preserve">Csongor Istàvn </w:t>
      </w:r>
      <w:r>
        <w:rPr>
          <w:sz w:val="18"/>
          <w:szCs w:val="18"/>
          <w:lang w:val="en-US"/>
        </w:rPr>
        <w:t>Nagy (n. 23)</w:t>
      </w:r>
      <w:r w:rsidRPr="0085599D">
        <w:rPr>
          <w:sz w:val="18"/>
          <w:szCs w:val="18"/>
          <w:lang w:val="en-US"/>
        </w:rPr>
        <w:t xml:space="preserve"> 9</w:t>
      </w:r>
      <w:r>
        <w:rPr>
          <w:sz w:val="18"/>
          <w:szCs w:val="18"/>
          <w:lang w:val="en-US"/>
        </w:rPr>
        <w:t>ff</w:t>
      </w:r>
      <w:r w:rsidRPr="0085599D">
        <w:rPr>
          <w:sz w:val="18"/>
          <w:szCs w:val="18"/>
          <w:lang w:val="en-US"/>
        </w:rPr>
        <w:t>.</w:t>
      </w:r>
    </w:p>
  </w:footnote>
  <w:footnote w:id="34">
    <w:p w14:paraId="30855F53" w14:textId="2880AEC0" w:rsidR="00467B24" w:rsidRPr="009118FB" w:rsidRDefault="00467B24" w:rsidP="009118FB">
      <w:pPr>
        <w:pStyle w:val="Testonotaapidipagina"/>
        <w:spacing w:line="276" w:lineRule="auto"/>
        <w:jc w:val="both"/>
        <w:rPr>
          <w:sz w:val="18"/>
          <w:szCs w:val="18"/>
          <w:lang w:val="en-US"/>
        </w:rPr>
      </w:pPr>
      <w:r w:rsidRPr="009118FB">
        <w:rPr>
          <w:rStyle w:val="Rimandonotaapidipagina"/>
          <w:sz w:val="18"/>
          <w:szCs w:val="18"/>
        </w:rPr>
        <w:footnoteRef/>
      </w:r>
      <w:r w:rsidRPr="009118FB">
        <w:rPr>
          <w:sz w:val="18"/>
          <w:szCs w:val="18"/>
          <w:lang w:val="en-US"/>
        </w:rPr>
        <w:t xml:space="preserve"> </w:t>
      </w:r>
      <w:r>
        <w:rPr>
          <w:sz w:val="18"/>
          <w:szCs w:val="18"/>
          <w:lang w:val="en-US"/>
        </w:rPr>
        <w:t>Compensation and liability in European data protection are mainly covered by art 82 GDPR and Recital 75 GDPR. On the variety of material and non-material damages as considered in the GDPR, see Carmelita Camardi, ‘</w:t>
      </w:r>
      <w:r w:rsidRPr="0085599D">
        <w:rPr>
          <w:sz w:val="18"/>
          <w:szCs w:val="18"/>
          <w:lang w:val="en-US"/>
        </w:rPr>
        <w:t>Liability and Accountability in the ‘Digital’ Relationship</w:t>
      </w:r>
      <w:r>
        <w:rPr>
          <w:sz w:val="18"/>
          <w:szCs w:val="18"/>
          <w:lang w:val="en-US"/>
        </w:rPr>
        <w:t xml:space="preserve">’ in Roberto Senigaglia, Claudia Irti and Alessandro Bernes (eds), </w:t>
      </w:r>
      <w:r w:rsidRPr="009154A9">
        <w:rPr>
          <w:i/>
          <w:sz w:val="18"/>
          <w:szCs w:val="18"/>
          <w:lang w:val="en-US"/>
        </w:rPr>
        <w:t>Privacy and Data Protection in Software Services</w:t>
      </w:r>
      <w:r>
        <w:rPr>
          <w:sz w:val="18"/>
          <w:szCs w:val="18"/>
          <w:lang w:val="en-US"/>
        </w:rPr>
        <w:t xml:space="preserve"> (Springer 2022) 26.</w:t>
      </w:r>
    </w:p>
  </w:footnote>
  <w:footnote w:id="35">
    <w:p w14:paraId="5C30448D" w14:textId="72B70500" w:rsidR="00467B24" w:rsidRPr="00F10894" w:rsidRDefault="00467B24" w:rsidP="00F523C3">
      <w:pPr>
        <w:pStyle w:val="Testonotaapidipagina"/>
        <w:spacing w:line="276" w:lineRule="auto"/>
        <w:jc w:val="both"/>
        <w:rPr>
          <w:sz w:val="18"/>
          <w:szCs w:val="18"/>
          <w:lang w:val="en-US"/>
        </w:rPr>
      </w:pPr>
      <w:r w:rsidRPr="00F10894">
        <w:rPr>
          <w:rStyle w:val="Rimandonotaapidipagina"/>
          <w:sz w:val="18"/>
          <w:szCs w:val="18"/>
        </w:rPr>
        <w:footnoteRef/>
      </w:r>
      <w:r w:rsidRPr="00F10894">
        <w:rPr>
          <w:sz w:val="18"/>
          <w:szCs w:val="18"/>
          <w:lang w:val="en-US"/>
        </w:rPr>
        <w:t xml:space="preserve"> </w:t>
      </w:r>
      <w:r>
        <w:rPr>
          <w:sz w:val="18"/>
          <w:szCs w:val="18"/>
          <w:lang w:val="en-US"/>
        </w:rPr>
        <w:t>See</w:t>
      </w:r>
      <w:r w:rsidRPr="00F10894">
        <w:rPr>
          <w:sz w:val="18"/>
          <w:szCs w:val="18"/>
          <w:lang w:val="en-US"/>
        </w:rPr>
        <w:t xml:space="preserve"> </w:t>
      </w:r>
      <w:r>
        <w:rPr>
          <w:sz w:val="18"/>
          <w:szCs w:val="18"/>
          <w:lang w:val="en-US"/>
        </w:rPr>
        <w:t>Mauro Cappelletti and Bryant Garth (n. 30) 181ff.</w:t>
      </w:r>
    </w:p>
  </w:footnote>
  <w:footnote w:id="36">
    <w:p w14:paraId="4223B757" w14:textId="78515D52" w:rsidR="00467B24" w:rsidRPr="0097318C" w:rsidRDefault="00467B24" w:rsidP="00620E25">
      <w:pPr>
        <w:pStyle w:val="Testonotaapidipagina"/>
        <w:spacing w:line="276" w:lineRule="auto"/>
        <w:jc w:val="both"/>
        <w:rPr>
          <w:sz w:val="18"/>
          <w:lang w:val="en-US"/>
        </w:rPr>
      </w:pPr>
      <w:r w:rsidRPr="001F4C21">
        <w:rPr>
          <w:rStyle w:val="Rimandonotaapidipagina"/>
          <w:sz w:val="18"/>
          <w:szCs w:val="18"/>
        </w:rPr>
        <w:footnoteRef/>
      </w:r>
      <w:r w:rsidRPr="001F4C21">
        <w:rPr>
          <w:sz w:val="18"/>
          <w:szCs w:val="18"/>
          <w:lang w:val="en-US"/>
        </w:rPr>
        <w:t xml:space="preserve"> The European Charter of </w:t>
      </w:r>
      <w:r>
        <w:rPr>
          <w:sz w:val="18"/>
          <w:szCs w:val="18"/>
          <w:lang w:val="en-US"/>
        </w:rPr>
        <w:t xml:space="preserve">Human Rights </w:t>
      </w:r>
      <w:r w:rsidRPr="001F4C21">
        <w:rPr>
          <w:sz w:val="18"/>
          <w:szCs w:val="18"/>
          <w:lang w:val="en-US"/>
        </w:rPr>
        <w:t>(E</w:t>
      </w:r>
      <w:r>
        <w:rPr>
          <w:sz w:val="18"/>
          <w:szCs w:val="18"/>
          <w:lang w:val="en-US"/>
        </w:rPr>
        <w:t xml:space="preserve">CHR) also mentions in art 8 the right to private life. Though not explicitly mentioning the right to data protection, the Convention has been used to protect the right to data privacy. On data privacy in the EU legal order, see </w:t>
      </w:r>
      <w:r w:rsidRPr="0097318C">
        <w:rPr>
          <w:sz w:val="18"/>
          <w:lang w:val="en-US"/>
        </w:rPr>
        <w:t>Council of Europe, European Court of Human Rights, European Data Protection Superviso</w:t>
      </w:r>
      <w:r>
        <w:rPr>
          <w:sz w:val="18"/>
          <w:lang w:val="en-US"/>
        </w:rPr>
        <w:t xml:space="preserve">r and </w:t>
      </w:r>
      <w:r>
        <w:rPr>
          <w:sz w:val="18"/>
          <w:szCs w:val="18"/>
          <w:lang w:val="en-US"/>
        </w:rPr>
        <w:t xml:space="preserve">European Union Agency for Fundamental Rights, </w:t>
      </w:r>
      <w:r w:rsidRPr="00477022">
        <w:rPr>
          <w:i/>
          <w:sz w:val="18"/>
          <w:szCs w:val="18"/>
          <w:lang w:val="en-US"/>
        </w:rPr>
        <w:t>Handbook on European data protection law</w:t>
      </w:r>
      <w:r>
        <w:rPr>
          <w:i/>
          <w:sz w:val="18"/>
          <w:szCs w:val="18"/>
          <w:lang w:val="en-US"/>
        </w:rPr>
        <w:t xml:space="preserve"> - 2018 edition</w:t>
      </w:r>
      <w:r>
        <w:rPr>
          <w:sz w:val="18"/>
          <w:szCs w:val="18"/>
          <w:lang w:val="en-US"/>
        </w:rPr>
        <w:t xml:space="preserve"> (Publications Office of the European Union 2019).</w:t>
      </w:r>
    </w:p>
  </w:footnote>
  <w:footnote w:id="37">
    <w:p w14:paraId="65DCEA85" w14:textId="6FFB9B4E" w:rsidR="00467B24" w:rsidRPr="00620E25" w:rsidRDefault="00467B24" w:rsidP="00620E25">
      <w:pPr>
        <w:pStyle w:val="Testonotaapidipagina"/>
        <w:spacing w:line="276" w:lineRule="auto"/>
        <w:jc w:val="both"/>
        <w:rPr>
          <w:sz w:val="18"/>
          <w:szCs w:val="18"/>
          <w:lang w:val="en-US"/>
        </w:rPr>
      </w:pPr>
      <w:r w:rsidRPr="00046C0B">
        <w:rPr>
          <w:rStyle w:val="Rimandonotaapidipagina"/>
          <w:sz w:val="18"/>
          <w:szCs w:val="18"/>
        </w:rPr>
        <w:footnoteRef/>
      </w:r>
      <w:r w:rsidRPr="00046C0B">
        <w:rPr>
          <w:sz w:val="18"/>
          <w:szCs w:val="18"/>
          <w:lang w:val="en-US"/>
        </w:rPr>
        <w:t xml:space="preserve"> </w:t>
      </w:r>
      <w:r>
        <w:rPr>
          <w:sz w:val="18"/>
          <w:szCs w:val="18"/>
          <w:lang w:val="en-US"/>
        </w:rPr>
        <w:t>Affirmed by the Italian Supreme Court in the landmark cases Cass. civ., SS.UU., n. 8827 and 8828 of 31 May 2003, as well as Cass. civ., SS.UU., n. 26972 of 11 November 2008.</w:t>
      </w:r>
    </w:p>
  </w:footnote>
  <w:footnote w:id="38">
    <w:p w14:paraId="6784D9B3" w14:textId="73D20AC9" w:rsidR="00467B24" w:rsidRPr="006062D4" w:rsidRDefault="00467B24" w:rsidP="006062D4">
      <w:pPr>
        <w:pStyle w:val="Testonotaapidipagina"/>
        <w:spacing w:line="276" w:lineRule="auto"/>
        <w:jc w:val="both"/>
        <w:rPr>
          <w:sz w:val="18"/>
          <w:szCs w:val="18"/>
          <w:lang w:val="en-US"/>
        </w:rPr>
      </w:pPr>
      <w:r w:rsidRPr="002971D0">
        <w:rPr>
          <w:rStyle w:val="Rimandonotaapidipagina"/>
          <w:sz w:val="18"/>
          <w:szCs w:val="18"/>
        </w:rPr>
        <w:footnoteRef/>
      </w:r>
      <w:r w:rsidRPr="002971D0">
        <w:rPr>
          <w:sz w:val="18"/>
          <w:szCs w:val="18"/>
          <w:lang w:val="en-US"/>
        </w:rPr>
        <w:t xml:space="preserve"> </w:t>
      </w:r>
      <w:r w:rsidRPr="000C30A8">
        <w:rPr>
          <w:sz w:val="18"/>
          <w:szCs w:val="18"/>
          <w:lang w:val="en-US"/>
        </w:rPr>
        <w:t xml:space="preserve">For instance, see </w:t>
      </w:r>
      <w:r>
        <w:rPr>
          <w:sz w:val="18"/>
          <w:szCs w:val="18"/>
          <w:lang w:val="en-US"/>
        </w:rPr>
        <w:t xml:space="preserve">the judgment of the </w:t>
      </w:r>
      <w:r w:rsidRPr="000C30A8">
        <w:rPr>
          <w:sz w:val="18"/>
          <w:szCs w:val="18"/>
          <w:lang w:val="en-US"/>
        </w:rPr>
        <w:t>Italian Supreme Court</w:t>
      </w:r>
      <w:r>
        <w:rPr>
          <w:sz w:val="18"/>
          <w:szCs w:val="18"/>
          <w:lang w:val="en-US"/>
        </w:rPr>
        <w:t>, Cass. civ. (III) n. 14886 of 31 May 2019</w:t>
      </w:r>
      <w:r w:rsidRPr="000C30A8">
        <w:rPr>
          <w:sz w:val="18"/>
          <w:szCs w:val="18"/>
          <w:lang w:val="en-US"/>
        </w:rPr>
        <w:t xml:space="preserve">. In civil law </w:t>
      </w:r>
      <w:r>
        <w:rPr>
          <w:sz w:val="18"/>
          <w:szCs w:val="18"/>
          <w:lang w:val="en-US"/>
        </w:rPr>
        <w:t>countries, however, this is regarded as something exceptional. See Linda S. Mullenix</w:t>
      </w:r>
      <w:r w:rsidRPr="006062D4">
        <w:rPr>
          <w:sz w:val="18"/>
          <w:szCs w:val="18"/>
          <w:lang w:val="en-US"/>
        </w:rPr>
        <w:t xml:space="preserve">, </w:t>
      </w:r>
      <w:r>
        <w:rPr>
          <w:sz w:val="18"/>
          <w:szCs w:val="18"/>
          <w:lang w:val="en-US"/>
        </w:rPr>
        <w:t>‘</w:t>
      </w:r>
      <w:r w:rsidRPr="00AE146B">
        <w:rPr>
          <w:sz w:val="18"/>
          <w:szCs w:val="18"/>
          <w:lang w:val="en-US"/>
        </w:rPr>
        <w:t>Lessons from Abroad: Complexity and Convergence’</w:t>
      </w:r>
      <w:r>
        <w:rPr>
          <w:sz w:val="18"/>
          <w:szCs w:val="18"/>
          <w:lang w:val="en-US"/>
        </w:rPr>
        <w:t xml:space="preserve"> (2001) 46 </w:t>
      </w:r>
      <w:r w:rsidRPr="00AE146B">
        <w:rPr>
          <w:sz w:val="18"/>
          <w:szCs w:val="18"/>
          <w:lang w:val="en-US"/>
        </w:rPr>
        <w:t>Vill. L. Rev</w:t>
      </w:r>
      <w:r w:rsidRPr="002971D0">
        <w:rPr>
          <w:i/>
          <w:sz w:val="18"/>
          <w:szCs w:val="18"/>
          <w:lang w:val="en-US"/>
        </w:rPr>
        <w:t>.</w:t>
      </w:r>
      <w:r w:rsidRPr="006062D4">
        <w:rPr>
          <w:sz w:val="18"/>
          <w:szCs w:val="18"/>
          <w:lang w:val="en-US"/>
        </w:rPr>
        <w:t xml:space="preserve"> 7. </w:t>
      </w:r>
    </w:p>
  </w:footnote>
  <w:footnote w:id="39">
    <w:p w14:paraId="5BA78F6F" w14:textId="470A4A6A" w:rsidR="00467B24" w:rsidRPr="00F10894" w:rsidRDefault="00467B24" w:rsidP="00F10894">
      <w:pPr>
        <w:pStyle w:val="Testonotaapidipagina"/>
        <w:spacing w:line="276" w:lineRule="auto"/>
        <w:jc w:val="both"/>
        <w:rPr>
          <w:sz w:val="18"/>
          <w:szCs w:val="18"/>
        </w:rPr>
      </w:pPr>
      <w:r w:rsidRPr="00F10894">
        <w:rPr>
          <w:rStyle w:val="Rimandonotaapidipagina"/>
          <w:sz w:val="18"/>
          <w:szCs w:val="18"/>
        </w:rPr>
        <w:footnoteRef/>
      </w:r>
      <w:r>
        <w:rPr>
          <w:sz w:val="18"/>
          <w:szCs w:val="18"/>
        </w:rPr>
        <w:t xml:space="preserve"> Fabrizio Piraino</w:t>
      </w:r>
      <w:r w:rsidRPr="00F10894">
        <w:rPr>
          <w:sz w:val="18"/>
          <w:szCs w:val="18"/>
        </w:rPr>
        <w:t xml:space="preserve">, </w:t>
      </w:r>
      <w:r w:rsidRPr="00AE146B">
        <w:rPr>
          <w:sz w:val="18"/>
          <w:szCs w:val="18"/>
        </w:rPr>
        <w:t>‘Il Regolamento generale sulla protezione dei dati personali e i diritti dell’interessato’</w:t>
      </w:r>
      <w:r>
        <w:rPr>
          <w:sz w:val="18"/>
          <w:szCs w:val="18"/>
        </w:rPr>
        <w:t xml:space="preserve"> (2017) 40(2) </w:t>
      </w:r>
      <w:r w:rsidRPr="00AE146B">
        <w:rPr>
          <w:sz w:val="18"/>
          <w:szCs w:val="18"/>
        </w:rPr>
        <w:t xml:space="preserve">Le Nuove Leggi Civili </w:t>
      </w:r>
      <w:r>
        <w:rPr>
          <w:sz w:val="18"/>
          <w:szCs w:val="18"/>
        </w:rPr>
        <w:t>Commentate 377 ff.; Alessandro Mantelero (n. 13</w:t>
      </w:r>
      <w:r w:rsidRPr="00F10894">
        <w:rPr>
          <w:sz w:val="18"/>
          <w:szCs w:val="18"/>
        </w:rPr>
        <w:t>).</w:t>
      </w:r>
    </w:p>
  </w:footnote>
  <w:footnote w:id="40">
    <w:p w14:paraId="2F1677EE" w14:textId="37BCFF1A" w:rsidR="00467B24" w:rsidRPr="00F32219" w:rsidRDefault="00467B24" w:rsidP="00F10894">
      <w:pPr>
        <w:pStyle w:val="Testonotaapidipagina"/>
        <w:spacing w:line="276" w:lineRule="auto"/>
        <w:jc w:val="both"/>
        <w:rPr>
          <w:sz w:val="18"/>
          <w:szCs w:val="18"/>
          <w:lang w:val="en-US"/>
        </w:rPr>
      </w:pPr>
      <w:r w:rsidRPr="00F10894">
        <w:rPr>
          <w:rStyle w:val="Rimandonotaapidipagina"/>
          <w:sz w:val="18"/>
          <w:szCs w:val="18"/>
        </w:rPr>
        <w:footnoteRef/>
      </w:r>
      <w:r>
        <w:rPr>
          <w:sz w:val="18"/>
          <w:szCs w:val="18"/>
          <w:lang w:val="en-US"/>
        </w:rPr>
        <w:t xml:space="preserve"> Alexander Biard</w:t>
      </w:r>
      <w:r w:rsidRPr="00F32219">
        <w:rPr>
          <w:sz w:val="18"/>
          <w:szCs w:val="18"/>
          <w:lang w:val="en-US"/>
        </w:rPr>
        <w:t xml:space="preserve"> (n</w:t>
      </w:r>
      <w:r>
        <w:rPr>
          <w:sz w:val="18"/>
          <w:szCs w:val="18"/>
          <w:lang w:val="en-US"/>
        </w:rPr>
        <w:t>. 19)</w:t>
      </w:r>
      <w:r w:rsidRPr="00F32219">
        <w:rPr>
          <w:sz w:val="18"/>
          <w:szCs w:val="18"/>
          <w:lang w:val="en-US"/>
        </w:rPr>
        <w:t xml:space="preserve"> 202. </w:t>
      </w:r>
    </w:p>
  </w:footnote>
  <w:footnote w:id="41">
    <w:p w14:paraId="1F5033F9" w14:textId="0BE3D118" w:rsidR="00467B24" w:rsidRPr="00F10894" w:rsidRDefault="00467B24" w:rsidP="00EA7140">
      <w:pPr>
        <w:pStyle w:val="Testonotaapidipagina"/>
        <w:spacing w:line="276" w:lineRule="auto"/>
        <w:jc w:val="both"/>
        <w:rPr>
          <w:sz w:val="18"/>
          <w:szCs w:val="18"/>
          <w:lang w:val="en-US"/>
        </w:rPr>
      </w:pPr>
      <w:r w:rsidRPr="00F10894">
        <w:rPr>
          <w:rStyle w:val="Rimandonotaapidipagina"/>
          <w:sz w:val="18"/>
          <w:szCs w:val="18"/>
        </w:rPr>
        <w:footnoteRef/>
      </w:r>
      <w:r>
        <w:rPr>
          <w:sz w:val="18"/>
          <w:szCs w:val="18"/>
          <w:lang w:val="en-US"/>
        </w:rPr>
        <w:t xml:space="preserve"> Anu Bradford</w:t>
      </w:r>
      <w:r w:rsidRPr="00F10894">
        <w:rPr>
          <w:sz w:val="18"/>
          <w:szCs w:val="18"/>
          <w:lang w:val="en-US"/>
        </w:rPr>
        <w:t xml:space="preserve">, </w:t>
      </w:r>
      <w:r>
        <w:rPr>
          <w:sz w:val="18"/>
          <w:szCs w:val="18"/>
          <w:lang w:val="en-US"/>
        </w:rPr>
        <w:t>‘</w:t>
      </w:r>
      <w:r w:rsidRPr="00AE146B">
        <w:rPr>
          <w:sz w:val="18"/>
          <w:szCs w:val="18"/>
          <w:lang w:val="en-US"/>
        </w:rPr>
        <w:t>The Brussels Effect’</w:t>
      </w:r>
      <w:r>
        <w:rPr>
          <w:i/>
          <w:sz w:val="18"/>
          <w:szCs w:val="18"/>
          <w:lang w:val="en-US"/>
        </w:rPr>
        <w:t xml:space="preserve"> </w:t>
      </w:r>
      <w:r>
        <w:rPr>
          <w:sz w:val="18"/>
          <w:szCs w:val="18"/>
          <w:lang w:val="en-US"/>
        </w:rPr>
        <w:t>(2012) 107(1) Northwestern U</w:t>
      </w:r>
      <w:r w:rsidRPr="00AE146B">
        <w:rPr>
          <w:sz w:val="18"/>
          <w:szCs w:val="18"/>
          <w:lang w:val="en-US"/>
        </w:rPr>
        <w:t xml:space="preserve"> L Rev</w:t>
      </w:r>
      <w:r>
        <w:rPr>
          <w:sz w:val="18"/>
          <w:szCs w:val="18"/>
          <w:lang w:val="en-US"/>
        </w:rPr>
        <w:t xml:space="preserve"> 22ff.</w:t>
      </w:r>
    </w:p>
  </w:footnote>
  <w:footnote w:id="42">
    <w:p w14:paraId="2B3A786D" w14:textId="029DB165" w:rsidR="00467B24" w:rsidRPr="00F10894" w:rsidRDefault="00467B24" w:rsidP="00EA7140">
      <w:pPr>
        <w:pStyle w:val="Testonotaapidipagina"/>
        <w:spacing w:line="276" w:lineRule="auto"/>
        <w:jc w:val="both"/>
        <w:rPr>
          <w:sz w:val="18"/>
          <w:szCs w:val="18"/>
          <w:lang w:val="en-US"/>
        </w:rPr>
      </w:pPr>
      <w:r w:rsidRPr="00F10894">
        <w:rPr>
          <w:rStyle w:val="Rimandonotaapidipagina"/>
          <w:sz w:val="18"/>
          <w:szCs w:val="18"/>
        </w:rPr>
        <w:footnoteRef/>
      </w:r>
      <w:r w:rsidRPr="00F10894">
        <w:rPr>
          <w:sz w:val="18"/>
          <w:szCs w:val="18"/>
          <w:lang w:val="en-US"/>
        </w:rPr>
        <w:t xml:space="preserve"> </w:t>
      </w:r>
      <w:r w:rsidRPr="00B11892">
        <w:rPr>
          <w:bCs/>
          <w:sz w:val="18"/>
          <w:szCs w:val="18"/>
          <w:lang w:val="en-US"/>
        </w:rPr>
        <w:t>Directive 95/46/EC of the European Parliament and of the Council of 24 October 1995 on the protection of individuals with regard to the processing of personal data and on the free movement of such data [1995] OJ 2 281/1</w:t>
      </w:r>
      <w:r>
        <w:rPr>
          <w:bCs/>
          <w:sz w:val="18"/>
          <w:szCs w:val="18"/>
          <w:lang w:val="en-US"/>
        </w:rPr>
        <w:t>.</w:t>
      </w:r>
    </w:p>
  </w:footnote>
  <w:footnote w:id="43">
    <w:p w14:paraId="12FA0D53" w14:textId="6C91EF4A" w:rsidR="00467B24" w:rsidRPr="009C167C" w:rsidRDefault="00467B24" w:rsidP="00EA7140">
      <w:pPr>
        <w:pStyle w:val="Testonotaapidipagina"/>
        <w:spacing w:line="276" w:lineRule="auto"/>
        <w:jc w:val="both"/>
        <w:rPr>
          <w:sz w:val="18"/>
          <w:szCs w:val="18"/>
          <w:lang w:val="en-US"/>
        </w:rPr>
      </w:pPr>
      <w:r w:rsidRPr="00F10894">
        <w:rPr>
          <w:rStyle w:val="Rimandonotaapidipagina"/>
          <w:sz w:val="18"/>
          <w:szCs w:val="18"/>
        </w:rPr>
        <w:footnoteRef/>
      </w:r>
      <w:r w:rsidRPr="00F10894">
        <w:rPr>
          <w:sz w:val="18"/>
          <w:szCs w:val="18"/>
          <w:lang w:val="en-US"/>
        </w:rPr>
        <w:t xml:space="preserve"> </w:t>
      </w:r>
      <w:r>
        <w:rPr>
          <w:sz w:val="18"/>
          <w:szCs w:val="18"/>
          <w:lang w:val="en-US"/>
        </w:rPr>
        <w:t>Marta Requejo Isidro</w:t>
      </w:r>
      <w:r w:rsidRPr="00F10894">
        <w:rPr>
          <w:sz w:val="18"/>
          <w:szCs w:val="18"/>
          <w:lang w:val="en-US"/>
        </w:rPr>
        <w:t xml:space="preserve">, </w:t>
      </w:r>
      <w:r>
        <w:rPr>
          <w:sz w:val="18"/>
          <w:szCs w:val="18"/>
          <w:lang w:val="en-US"/>
        </w:rPr>
        <w:t>‘</w:t>
      </w:r>
      <w:r w:rsidRPr="003F5A63">
        <w:rPr>
          <w:sz w:val="18"/>
          <w:szCs w:val="18"/>
          <w:lang w:val="en-US"/>
        </w:rPr>
        <w:t>Procedural Harmonisation and Private Enforcement in the GDPR</w:t>
      </w:r>
      <w:r>
        <w:rPr>
          <w:sz w:val="18"/>
          <w:szCs w:val="18"/>
          <w:lang w:val="en-US"/>
        </w:rPr>
        <w:t>’</w:t>
      </w:r>
      <w:r w:rsidRPr="00F10894">
        <w:rPr>
          <w:sz w:val="18"/>
          <w:szCs w:val="18"/>
          <w:lang w:val="en-US"/>
        </w:rPr>
        <w:t xml:space="preserve"> in </w:t>
      </w:r>
      <w:r>
        <w:rPr>
          <w:sz w:val="18"/>
          <w:szCs w:val="18"/>
          <w:lang w:val="en-US"/>
        </w:rPr>
        <w:t>Fernando Gascón Inchausti and Burkhard Hess (eds</w:t>
      </w:r>
      <w:r w:rsidRPr="00F10894">
        <w:rPr>
          <w:sz w:val="18"/>
          <w:szCs w:val="18"/>
          <w:lang w:val="en-US"/>
        </w:rPr>
        <w:t xml:space="preserve">), </w:t>
      </w:r>
      <w:r w:rsidRPr="00F10894">
        <w:rPr>
          <w:i/>
          <w:sz w:val="18"/>
          <w:szCs w:val="18"/>
          <w:lang w:val="en-US"/>
        </w:rPr>
        <w:t xml:space="preserve">The Future of the European Law of Civil Procedure. </w:t>
      </w:r>
      <w:r w:rsidRPr="009C167C">
        <w:rPr>
          <w:i/>
          <w:sz w:val="18"/>
          <w:szCs w:val="18"/>
          <w:lang w:val="en-US"/>
        </w:rPr>
        <w:t>Coordination or Harmonisation?</w:t>
      </w:r>
      <w:r w:rsidRPr="009C167C">
        <w:rPr>
          <w:sz w:val="18"/>
          <w:szCs w:val="18"/>
          <w:lang w:val="en-US"/>
        </w:rPr>
        <w:t xml:space="preserve"> (Intersentia 2020) 194.</w:t>
      </w:r>
    </w:p>
  </w:footnote>
  <w:footnote w:id="44">
    <w:p w14:paraId="48740119" w14:textId="18AEE378" w:rsidR="00467B24" w:rsidRPr="003F5A63" w:rsidRDefault="00467B24" w:rsidP="00EA7140">
      <w:pPr>
        <w:pStyle w:val="Testonotaapidipagina"/>
        <w:spacing w:line="276" w:lineRule="auto"/>
        <w:jc w:val="both"/>
        <w:rPr>
          <w:sz w:val="18"/>
          <w:szCs w:val="18"/>
          <w:lang w:val="en-US"/>
        </w:rPr>
      </w:pPr>
      <w:r w:rsidRPr="00F10894">
        <w:rPr>
          <w:rStyle w:val="Rimandonotaapidipagina"/>
          <w:sz w:val="18"/>
          <w:szCs w:val="18"/>
        </w:rPr>
        <w:footnoteRef/>
      </w:r>
      <w:r w:rsidRPr="003F5A63">
        <w:rPr>
          <w:sz w:val="18"/>
          <w:szCs w:val="18"/>
          <w:lang w:val="en-US"/>
        </w:rPr>
        <w:t xml:space="preserve"> Hans W. Micklitz and Fabrizio</w:t>
      </w:r>
      <w:r>
        <w:rPr>
          <w:sz w:val="18"/>
          <w:szCs w:val="18"/>
          <w:lang w:val="en-US"/>
        </w:rPr>
        <w:t xml:space="preserve"> Cafaggi</w:t>
      </w:r>
      <w:r w:rsidRPr="003F5A63">
        <w:rPr>
          <w:sz w:val="18"/>
          <w:szCs w:val="18"/>
          <w:lang w:val="en-US"/>
        </w:rPr>
        <w:t xml:space="preserve"> (n. 18).</w:t>
      </w:r>
    </w:p>
  </w:footnote>
  <w:footnote w:id="45">
    <w:p w14:paraId="5107630F" w14:textId="284152DD" w:rsidR="00467B24" w:rsidRPr="00AE0B30" w:rsidRDefault="00467B24" w:rsidP="009839AB">
      <w:pPr>
        <w:pStyle w:val="Testonotaapidipagina"/>
        <w:spacing w:line="276" w:lineRule="auto"/>
        <w:jc w:val="both"/>
        <w:rPr>
          <w:sz w:val="18"/>
          <w:szCs w:val="18"/>
        </w:rPr>
      </w:pPr>
      <w:r w:rsidRPr="00F10894">
        <w:rPr>
          <w:rStyle w:val="Rimandonotaapidipagina"/>
          <w:sz w:val="18"/>
          <w:szCs w:val="18"/>
        </w:rPr>
        <w:footnoteRef/>
      </w:r>
      <w:r>
        <w:rPr>
          <w:sz w:val="18"/>
          <w:szCs w:val="18"/>
        </w:rPr>
        <w:t xml:space="preserve"> Roberto Pardolesi</w:t>
      </w:r>
      <w:r w:rsidRPr="00AE0B30">
        <w:rPr>
          <w:sz w:val="18"/>
          <w:szCs w:val="18"/>
        </w:rPr>
        <w:t xml:space="preserve">, </w:t>
      </w:r>
      <w:r>
        <w:rPr>
          <w:sz w:val="18"/>
          <w:szCs w:val="18"/>
        </w:rPr>
        <w:t>‘</w:t>
      </w:r>
      <w:r w:rsidRPr="003F5A63">
        <w:rPr>
          <w:sz w:val="18"/>
          <w:szCs w:val="18"/>
        </w:rPr>
        <w:t>Il private enforcement del diritto antitrust: un ani</w:t>
      </w:r>
      <w:r>
        <w:rPr>
          <w:sz w:val="18"/>
          <w:szCs w:val="18"/>
        </w:rPr>
        <w:t xml:space="preserve">male fantastico, e dove trovarlo’ </w:t>
      </w:r>
      <w:r w:rsidRPr="00AE0B30">
        <w:rPr>
          <w:sz w:val="18"/>
          <w:szCs w:val="18"/>
        </w:rPr>
        <w:t xml:space="preserve">in </w:t>
      </w:r>
      <w:r>
        <w:rPr>
          <w:sz w:val="18"/>
          <w:szCs w:val="18"/>
        </w:rPr>
        <w:t xml:space="preserve">Gian Antonio Benacchio and Michele Carpagnano (eds), </w:t>
      </w:r>
      <w:r w:rsidRPr="001D6221">
        <w:rPr>
          <w:i/>
          <w:sz w:val="18"/>
          <w:szCs w:val="18"/>
        </w:rPr>
        <w:t>Aspetti istituzionali e prospettive applicative del private antitrust enforcement nell’Unione Europea, Atti del VI Convegno Biennale Antitrust Facoltà di Giurisprudenza Trento, 6-8 aprile 2017</w:t>
      </w:r>
      <w:r>
        <w:rPr>
          <w:sz w:val="18"/>
          <w:szCs w:val="18"/>
        </w:rPr>
        <w:t xml:space="preserve"> (Editoriale Scientifica - Napoli 2018) </w:t>
      </w:r>
      <w:r w:rsidRPr="00AE0B30">
        <w:rPr>
          <w:sz w:val="18"/>
          <w:szCs w:val="18"/>
        </w:rPr>
        <w:t>49.</w:t>
      </w:r>
    </w:p>
  </w:footnote>
  <w:footnote w:id="46">
    <w:p w14:paraId="33E93523" w14:textId="53C14A53" w:rsidR="00467B24" w:rsidRPr="00F10894" w:rsidRDefault="00467B24" w:rsidP="00EA7140">
      <w:pPr>
        <w:pStyle w:val="Testonotaapidipagina"/>
        <w:spacing w:line="276" w:lineRule="auto"/>
        <w:jc w:val="both"/>
        <w:rPr>
          <w:sz w:val="18"/>
          <w:szCs w:val="18"/>
          <w:lang w:val="en-US"/>
        </w:rPr>
      </w:pPr>
      <w:r w:rsidRPr="00F10894">
        <w:rPr>
          <w:rStyle w:val="Rimandonotaapidipagina"/>
          <w:sz w:val="18"/>
          <w:szCs w:val="18"/>
        </w:rPr>
        <w:footnoteRef/>
      </w:r>
      <w:r>
        <w:rPr>
          <w:sz w:val="18"/>
          <w:szCs w:val="18"/>
          <w:lang w:val="en-US"/>
        </w:rPr>
        <w:t xml:space="preserve"> Stephanie Law and Janek Nowak, ‘</w:t>
      </w:r>
      <w:r w:rsidRPr="00596A45">
        <w:rPr>
          <w:sz w:val="18"/>
          <w:szCs w:val="18"/>
          <w:lang w:val="en-US"/>
        </w:rPr>
        <w:t>Procedural Harmonisation by the European Court of Justice</w:t>
      </w:r>
      <w:r>
        <w:rPr>
          <w:sz w:val="18"/>
          <w:szCs w:val="18"/>
          <w:lang w:val="en-US"/>
        </w:rPr>
        <w:t xml:space="preserve">’ </w:t>
      </w:r>
      <w:r w:rsidRPr="00F10894">
        <w:rPr>
          <w:sz w:val="18"/>
          <w:szCs w:val="18"/>
          <w:lang w:val="en-US"/>
        </w:rPr>
        <w:t xml:space="preserve">in </w:t>
      </w:r>
      <w:r>
        <w:rPr>
          <w:sz w:val="18"/>
          <w:szCs w:val="18"/>
          <w:lang w:val="en-US"/>
        </w:rPr>
        <w:t>Fernando Gascón Inchausti and Burkhard Hess (n. 29) 19ff, 31ff.</w:t>
      </w:r>
    </w:p>
  </w:footnote>
  <w:footnote w:id="47">
    <w:p w14:paraId="2122C71D" w14:textId="531A1DCB" w:rsidR="00467B24" w:rsidRPr="00596A45" w:rsidRDefault="00467B24" w:rsidP="00EA7140">
      <w:pPr>
        <w:pStyle w:val="Testonotaapidipagina"/>
        <w:spacing w:line="276" w:lineRule="auto"/>
        <w:jc w:val="both"/>
        <w:rPr>
          <w:sz w:val="18"/>
          <w:szCs w:val="18"/>
          <w:lang w:val="en-US"/>
        </w:rPr>
      </w:pPr>
      <w:r w:rsidRPr="00F10894">
        <w:rPr>
          <w:rStyle w:val="Rimandonotaapidipagina"/>
          <w:sz w:val="18"/>
          <w:szCs w:val="18"/>
        </w:rPr>
        <w:footnoteRef/>
      </w:r>
      <w:r w:rsidRPr="00F10894">
        <w:rPr>
          <w:sz w:val="18"/>
          <w:szCs w:val="18"/>
          <w:lang w:val="en-US"/>
        </w:rPr>
        <w:t xml:space="preserve"> </w:t>
      </w:r>
      <w:r>
        <w:rPr>
          <w:iCs/>
          <w:sz w:val="18"/>
          <w:szCs w:val="18"/>
          <w:lang w:val="en-US"/>
        </w:rPr>
        <w:t>Fabrizio Cafaggi and Paola Iamiceli, ‘</w:t>
      </w:r>
      <w:r w:rsidRPr="00596A45">
        <w:rPr>
          <w:iCs/>
          <w:sz w:val="18"/>
          <w:szCs w:val="18"/>
          <w:lang w:val="en-US"/>
        </w:rPr>
        <w:t>The Principles of Effectiveness, Proportionality and Dissuasiveness in the Enforcement of EU Consumer Law: The Impact of a Triad on the Choice of Civil Remedies and Administrative Sanctions</w:t>
      </w:r>
      <w:r>
        <w:rPr>
          <w:iCs/>
          <w:sz w:val="18"/>
          <w:szCs w:val="18"/>
          <w:lang w:val="en-US"/>
        </w:rPr>
        <w:t xml:space="preserve">’ (2017) 25(3) </w:t>
      </w:r>
      <w:r w:rsidRPr="00596A45">
        <w:rPr>
          <w:iCs/>
          <w:sz w:val="18"/>
          <w:szCs w:val="18"/>
          <w:lang w:val="en-US"/>
        </w:rPr>
        <w:t>Eur Rev Priv L</w:t>
      </w:r>
      <w:r>
        <w:rPr>
          <w:i/>
          <w:iCs/>
          <w:sz w:val="18"/>
          <w:szCs w:val="18"/>
          <w:lang w:val="en-US"/>
        </w:rPr>
        <w:t xml:space="preserve"> </w:t>
      </w:r>
      <w:r>
        <w:rPr>
          <w:iCs/>
          <w:sz w:val="18"/>
          <w:szCs w:val="18"/>
          <w:lang w:val="en-US"/>
        </w:rPr>
        <w:t>575 ff.</w:t>
      </w:r>
    </w:p>
  </w:footnote>
  <w:footnote w:id="48">
    <w:p w14:paraId="18119016" w14:textId="6985BF85" w:rsidR="00467B24" w:rsidRPr="00F10894" w:rsidRDefault="00467B24" w:rsidP="00506988">
      <w:pPr>
        <w:pStyle w:val="Testonotaapidipagina"/>
        <w:spacing w:line="276" w:lineRule="auto"/>
        <w:jc w:val="both"/>
        <w:rPr>
          <w:sz w:val="18"/>
          <w:szCs w:val="18"/>
        </w:rPr>
      </w:pPr>
      <w:r w:rsidRPr="00F10894">
        <w:rPr>
          <w:rStyle w:val="Rimandonotaapidipagina"/>
          <w:sz w:val="18"/>
          <w:szCs w:val="18"/>
        </w:rPr>
        <w:footnoteRef/>
      </w:r>
      <w:r>
        <w:rPr>
          <w:sz w:val="18"/>
          <w:szCs w:val="18"/>
        </w:rPr>
        <w:t xml:space="preserve"> Vincenzo Zeno-Zencovich and Maria Cecilia Paglietti</w:t>
      </w:r>
      <w:r w:rsidRPr="00F10894">
        <w:rPr>
          <w:sz w:val="18"/>
          <w:szCs w:val="18"/>
        </w:rPr>
        <w:t xml:space="preserve">, </w:t>
      </w:r>
      <w:r w:rsidRPr="00F10894">
        <w:rPr>
          <w:i/>
          <w:sz w:val="18"/>
          <w:szCs w:val="18"/>
        </w:rPr>
        <w:t>Diritto processuale dei consumatori</w:t>
      </w:r>
      <w:r w:rsidRPr="00F10894">
        <w:rPr>
          <w:sz w:val="18"/>
          <w:szCs w:val="18"/>
        </w:rPr>
        <w:t xml:space="preserve"> </w:t>
      </w:r>
      <w:r>
        <w:rPr>
          <w:sz w:val="18"/>
          <w:szCs w:val="18"/>
        </w:rPr>
        <w:t>(Egea</w:t>
      </w:r>
      <w:r w:rsidRPr="00F10894">
        <w:rPr>
          <w:sz w:val="18"/>
          <w:szCs w:val="18"/>
        </w:rPr>
        <w:t xml:space="preserve"> 2009</w:t>
      </w:r>
      <w:r>
        <w:rPr>
          <w:sz w:val="18"/>
          <w:szCs w:val="18"/>
        </w:rPr>
        <w:t>)</w:t>
      </w:r>
      <w:r w:rsidRPr="00F10894">
        <w:rPr>
          <w:sz w:val="18"/>
          <w:szCs w:val="18"/>
        </w:rPr>
        <w:t>.</w:t>
      </w:r>
    </w:p>
  </w:footnote>
  <w:footnote w:id="49">
    <w:p w14:paraId="69CD9FE3" w14:textId="07C04019" w:rsidR="00467B24" w:rsidRPr="009C167C" w:rsidRDefault="00467B24" w:rsidP="00F10894">
      <w:pPr>
        <w:pStyle w:val="Testonotaapidipagina"/>
        <w:spacing w:line="276" w:lineRule="auto"/>
        <w:jc w:val="both"/>
        <w:rPr>
          <w:sz w:val="18"/>
          <w:szCs w:val="18"/>
        </w:rPr>
      </w:pPr>
      <w:r w:rsidRPr="00F10894">
        <w:rPr>
          <w:rStyle w:val="Rimandonotaapidipagina"/>
          <w:sz w:val="18"/>
          <w:szCs w:val="18"/>
        </w:rPr>
        <w:footnoteRef/>
      </w:r>
      <w:r w:rsidRPr="00F10894">
        <w:rPr>
          <w:sz w:val="18"/>
          <w:szCs w:val="18"/>
          <w:lang w:val="en-US"/>
        </w:rPr>
        <w:t xml:space="preserve"> </w:t>
      </w:r>
      <w:r>
        <w:rPr>
          <w:bCs/>
          <w:sz w:val="18"/>
          <w:szCs w:val="18"/>
          <w:lang w:val="en-US"/>
        </w:rPr>
        <w:t>Case C-40/17</w:t>
      </w:r>
      <w:r w:rsidRPr="00F10894">
        <w:rPr>
          <w:bCs/>
          <w:sz w:val="18"/>
          <w:szCs w:val="18"/>
          <w:lang w:val="en-US"/>
        </w:rPr>
        <w:t xml:space="preserve"> </w:t>
      </w:r>
      <w:r w:rsidRPr="0030177E">
        <w:rPr>
          <w:bCs/>
          <w:i/>
          <w:sz w:val="18"/>
          <w:szCs w:val="18"/>
          <w:lang w:val="en-US"/>
        </w:rPr>
        <w:t>Fashion ID GmbH &amp; Co.KG v Verbraucherzentrale NRW eV.</w:t>
      </w:r>
      <w:r>
        <w:rPr>
          <w:bCs/>
          <w:sz w:val="18"/>
          <w:szCs w:val="18"/>
          <w:lang w:val="en-US"/>
        </w:rPr>
        <w:t xml:space="preserve"> </w:t>
      </w:r>
      <w:r w:rsidRPr="009C167C">
        <w:rPr>
          <w:bCs/>
          <w:sz w:val="18"/>
          <w:szCs w:val="18"/>
        </w:rPr>
        <w:t>[2019] EU:C:2019:629.</w:t>
      </w:r>
    </w:p>
  </w:footnote>
  <w:footnote w:id="50">
    <w:p w14:paraId="55D566A2" w14:textId="70D5A370" w:rsidR="00467B24" w:rsidRPr="008F7C0E" w:rsidRDefault="00467B24" w:rsidP="00EA7140">
      <w:pPr>
        <w:pStyle w:val="Testonotaapidipagina"/>
        <w:spacing w:line="276" w:lineRule="auto"/>
        <w:jc w:val="both"/>
        <w:rPr>
          <w:sz w:val="18"/>
          <w:szCs w:val="18"/>
        </w:rPr>
      </w:pPr>
      <w:r w:rsidRPr="00F10894">
        <w:rPr>
          <w:rStyle w:val="Rimandonotaapidipagina"/>
          <w:sz w:val="18"/>
          <w:szCs w:val="18"/>
        </w:rPr>
        <w:footnoteRef/>
      </w:r>
      <w:r w:rsidRPr="008F7C0E">
        <w:rPr>
          <w:sz w:val="18"/>
          <w:szCs w:val="18"/>
        </w:rPr>
        <w:t xml:space="preserve"> Hans W. Micklitz and Fabrizio Cafaggi (n. 18), 17.</w:t>
      </w:r>
    </w:p>
  </w:footnote>
  <w:footnote w:id="51">
    <w:p w14:paraId="634AB211" w14:textId="305C680D" w:rsidR="00467B24" w:rsidRPr="008F7C0E" w:rsidRDefault="00467B24" w:rsidP="00F10894">
      <w:pPr>
        <w:pStyle w:val="Testonotaapidipagina"/>
        <w:spacing w:line="276" w:lineRule="auto"/>
        <w:jc w:val="both"/>
        <w:rPr>
          <w:sz w:val="18"/>
          <w:szCs w:val="18"/>
          <w:lang w:val="en-US"/>
        </w:rPr>
      </w:pPr>
      <w:r w:rsidRPr="00F10894">
        <w:rPr>
          <w:rStyle w:val="Rimandonotaapidipagina"/>
          <w:sz w:val="18"/>
          <w:szCs w:val="18"/>
        </w:rPr>
        <w:footnoteRef/>
      </w:r>
      <w:r w:rsidRPr="00F10894">
        <w:rPr>
          <w:sz w:val="18"/>
          <w:szCs w:val="18"/>
        </w:rPr>
        <w:t xml:space="preserve"> </w:t>
      </w:r>
      <w:r>
        <w:rPr>
          <w:sz w:val="18"/>
          <w:szCs w:val="18"/>
        </w:rPr>
        <w:t>Shaira Thobani</w:t>
      </w:r>
      <w:r w:rsidRPr="00F10894">
        <w:rPr>
          <w:sz w:val="18"/>
          <w:szCs w:val="18"/>
        </w:rPr>
        <w:t xml:space="preserve">, </w:t>
      </w:r>
      <w:r>
        <w:rPr>
          <w:sz w:val="18"/>
          <w:szCs w:val="18"/>
        </w:rPr>
        <w:t>‘</w:t>
      </w:r>
      <w:r w:rsidRPr="00F43CF5">
        <w:rPr>
          <w:sz w:val="18"/>
          <w:szCs w:val="18"/>
        </w:rPr>
        <w:t>Art. 80 GDPR – Rappresentanza degli interessati’</w:t>
      </w:r>
      <w:r w:rsidRPr="00F10894">
        <w:rPr>
          <w:sz w:val="18"/>
          <w:szCs w:val="18"/>
        </w:rPr>
        <w:t xml:space="preserve"> in </w:t>
      </w:r>
      <w:r>
        <w:rPr>
          <w:sz w:val="18"/>
          <w:szCs w:val="18"/>
        </w:rPr>
        <w:t>Vincenzo Barba and Stefano Pagliantini (eds</w:t>
      </w:r>
      <w:r w:rsidRPr="00F10894">
        <w:rPr>
          <w:sz w:val="18"/>
          <w:szCs w:val="18"/>
        </w:rPr>
        <w:t xml:space="preserve">), </w:t>
      </w:r>
      <w:r>
        <w:rPr>
          <w:i/>
          <w:sz w:val="18"/>
          <w:szCs w:val="18"/>
        </w:rPr>
        <w:t>Commentario del Codice Civile</w:t>
      </w:r>
      <w:r w:rsidRPr="00F10894">
        <w:rPr>
          <w:i/>
          <w:sz w:val="18"/>
          <w:szCs w:val="18"/>
        </w:rPr>
        <w:t xml:space="preserve"> </w:t>
      </w:r>
      <w:r w:rsidRPr="00F10894">
        <w:rPr>
          <w:sz w:val="18"/>
          <w:szCs w:val="18"/>
        </w:rPr>
        <w:t xml:space="preserve">diretto da </w:t>
      </w:r>
      <w:r>
        <w:rPr>
          <w:sz w:val="18"/>
          <w:szCs w:val="18"/>
        </w:rPr>
        <w:t>Enrico Gabrielli</w:t>
      </w:r>
      <w:r w:rsidRPr="00F10894">
        <w:rPr>
          <w:sz w:val="18"/>
          <w:szCs w:val="18"/>
        </w:rPr>
        <w:t xml:space="preserve">, </w:t>
      </w:r>
      <w:r w:rsidRPr="00F10894">
        <w:rPr>
          <w:i/>
          <w:sz w:val="18"/>
          <w:szCs w:val="18"/>
        </w:rPr>
        <w:t>Delle Person</w:t>
      </w:r>
      <w:r>
        <w:rPr>
          <w:i/>
          <w:sz w:val="18"/>
          <w:szCs w:val="18"/>
        </w:rPr>
        <w:t>e, Leggi collegate</w:t>
      </w:r>
      <w:r w:rsidRPr="00F10894">
        <w:rPr>
          <w:i/>
          <w:sz w:val="18"/>
          <w:szCs w:val="18"/>
        </w:rPr>
        <w:t xml:space="preserve"> </w:t>
      </w:r>
      <w:r w:rsidRPr="00F10894">
        <w:rPr>
          <w:sz w:val="18"/>
          <w:szCs w:val="18"/>
        </w:rPr>
        <w:t xml:space="preserve">vol. </w:t>
      </w:r>
      <w:r w:rsidRPr="008F7C0E">
        <w:rPr>
          <w:sz w:val="18"/>
          <w:szCs w:val="18"/>
          <w:lang w:val="en-US"/>
        </w:rPr>
        <w:t>II (UTET 2019) 1210.</w:t>
      </w:r>
    </w:p>
  </w:footnote>
  <w:footnote w:id="52">
    <w:p w14:paraId="1A9F8074" w14:textId="05D0F2C1" w:rsidR="00467B24" w:rsidRPr="00F10894" w:rsidRDefault="00467B24" w:rsidP="00F10894">
      <w:pPr>
        <w:pStyle w:val="Testonotaapidipagina"/>
        <w:spacing w:line="276" w:lineRule="auto"/>
        <w:jc w:val="both"/>
        <w:rPr>
          <w:sz w:val="18"/>
          <w:szCs w:val="18"/>
          <w:lang w:val="en-US"/>
        </w:rPr>
      </w:pPr>
      <w:r w:rsidRPr="00F10894">
        <w:rPr>
          <w:rStyle w:val="Rimandonotaapidipagina"/>
          <w:sz w:val="18"/>
          <w:szCs w:val="18"/>
        </w:rPr>
        <w:footnoteRef/>
      </w:r>
      <w:r w:rsidRPr="00F10894">
        <w:rPr>
          <w:sz w:val="18"/>
          <w:szCs w:val="18"/>
          <w:lang w:val="en-US"/>
        </w:rPr>
        <w:t xml:space="preserve"> Case C-319/20</w:t>
      </w:r>
      <w:r>
        <w:rPr>
          <w:sz w:val="18"/>
          <w:szCs w:val="18"/>
          <w:lang w:val="en-US"/>
        </w:rPr>
        <w:t xml:space="preserve"> </w:t>
      </w:r>
      <w:r w:rsidRPr="00F10894">
        <w:rPr>
          <w:i/>
          <w:sz w:val="18"/>
          <w:szCs w:val="18"/>
          <w:lang w:val="en-US"/>
        </w:rPr>
        <w:t>Meta Platforms</w:t>
      </w:r>
      <w:r>
        <w:rPr>
          <w:i/>
          <w:sz w:val="18"/>
          <w:szCs w:val="18"/>
          <w:lang w:val="en-US"/>
        </w:rPr>
        <w:t xml:space="preserve"> </w:t>
      </w:r>
      <w:r>
        <w:rPr>
          <w:sz w:val="18"/>
          <w:szCs w:val="18"/>
          <w:lang w:val="en-US"/>
        </w:rPr>
        <w:t>[2022]</w:t>
      </w:r>
      <w:r w:rsidRPr="00F10894">
        <w:rPr>
          <w:i/>
          <w:sz w:val="18"/>
          <w:szCs w:val="18"/>
          <w:lang w:val="en-US"/>
        </w:rPr>
        <w:t xml:space="preserve">, </w:t>
      </w:r>
      <w:r>
        <w:rPr>
          <w:sz w:val="18"/>
          <w:szCs w:val="18"/>
          <w:lang w:val="en-US"/>
        </w:rPr>
        <w:t xml:space="preserve">paras </w:t>
      </w:r>
      <w:r w:rsidRPr="00F10894">
        <w:rPr>
          <w:sz w:val="18"/>
          <w:szCs w:val="18"/>
          <w:lang w:val="en-US"/>
        </w:rPr>
        <w:t>27-36.</w:t>
      </w:r>
    </w:p>
  </w:footnote>
  <w:footnote w:id="53">
    <w:p w14:paraId="019AC80D" w14:textId="067B01A8" w:rsidR="00467B24" w:rsidRPr="00F10894" w:rsidRDefault="00467B24" w:rsidP="00F10894">
      <w:pPr>
        <w:pStyle w:val="Testonotaapidipagina"/>
        <w:spacing w:line="276" w:lineRule="auto"/>
        <w:jc w:val="both"/>
        <w:rPr>
          <w:sz w:val="18"/>
          <w:szCs w:val="18"/>
          <w:lang w:val="en-US"/>
        </w:rPr>
      </w:pPr>
      <w:r w:rsidRPr="00F10894">
        <w:rPr>
          <w:rStyle w:val="Rimandonotaapidipagina"/>
          <w:sz w:val="18"/>
          <w:szCs w:val="18"/>
        </w:rPr>
        <w:footnoteRef/>
      </w:r>
      <w:r w:rsidRPr="00F10894">
        <w:rPr>
          <w:sz w:val="18"/>
          <w:szCs w:val="18"/>
          <w:lang w:val="en-US"/>
        </w:rPr>
        <w:t xml:space="preserve"> Case C-319/20</w:t>
      </w:r>
      <w:r>
        <w:rPr>
          <w:sz w:val="18"/>
          <w:szCs w:val="18"/>
          <w:lang w:val="en-US"/>
        </w:rPr>
        <w:t xml:space="preserve"> </w:t>
      </w:r>
      <w:r w:rsidRPr="00F10894">
        <w:rPr>
          <w:i/>
          <w:sz w:val="18"/>
          <w:szCs w:val="18"/>
          <w:lang w:val="en-US"/>
        </w:rPr>
        <w:t>Meta Platforms</w:t>
      </w:r>
      <w:r>
        <w:rPr>
          <w:i/>
          <w:sz w:val="18"/>
          <w:szCs w:val="18"/>
          <w:lang w:val="en-US"/>
        </w:rPr>
        <w:t xml:space="preserve"> </w:t>
      </w:r>
      <w:r>
        <w:rPr>
          <w:sz w:val="18"/>
          <w:szCs w:val="18"/>
          <w:lang w:val="en-US"/>
        </w:rPr>
        <w:t>[2022]</w:t>
      </w:r>
      <w:r w:rsidRPr="00F10894">
        <w:rPr>
          <w:i/>
          <w:sz w:val="18"/>
          <w:szCs w:val="18"/>
          <w:lang w:val="en-US"/>
        </w:rPr>
        <w:t xml:space="preserve">, </w:t>
      </w:r>
      <w:r>
        <w:rPr>
          <w:sz w:val="18"/>
          <w:szCs w:val="18"/>
          <w:lang w:val="en-US"/>
        </w:rPr>
        <w:t>paras</w:t>
      </w:r>
      <w:r w:rsidRPr="00F10894">
        <w:rPr>
          <w:sz w:val="18"/>
          <w:szCs w:val="18"/>
          <w:lang w:val="en-US"/>
        </w:rPr>
        <w:t xml:space="preserve"> 60-66.</w:t>
      </w:r>
    </w:p>
  </w:footnote>
  <w:footnote w:id="54">
    <w:p w14:paraId="34DD7D55" w14:textId="67E3CD50" w:rsidR="00467B24" w:rsidRPr="00F10894" w:rsidRDefault="00467B24" w:rsidP="00F10894">
      <w:pPr>
        <w:pStyle w:val="Testonotaapidipagina"/>
        <w:spacing w:line="276" w:lineRule="auto"/>
        <w:jc w:val="both"/>
        <w:rPr>
          <w:sz w:val="18"/>
          <w:szCs w:val="18"/>
          <w:lang w:val="en-US"/>
        </w:rPr>
      </w:pPr>
      <w:r w:rsidRPr="00F10894">
        <w:rPr>
          <w:rStyle w:val="Rimandonotaapidipagina"/>
          <w:sz w:val="18"/>
          <w:szCs w:val="18"/>
        </w:rPr>
        <w:footnoteRef/>
      </w:r>
      <w:r>
        <w:rPr>
          <w:sz w:val="18"/>
          <w:szCs w:val="18"/>
          <w:lang w:val="en-US"/>
        </w:rPr>
        <w:t xml:space="preserve"> Case C-319/20 </w:t>
      </w:r>
      <w:r w:rsidRPr="00F10894">
        <w:rPr>
          <w:i/>
          <w:sz w:val="18"/>
          <w:szCs w:val="18"/>
          <w:lang w:val="en-US"/>
        </w:rPr>
        <w:t>Meta Platforms</w:t>
      </w:r>
      <w:r>
        <w:rPr>
          <w:i/>
          <w:sz w:val="18"/>
          <w:szCs w:val="18"/>
          <w:lang w:val="en-US"/>
        </w:rPr>
        <w:t xml:space="preserve"> </w:t>
      </w:r>
      <w:r>
        <w:rPr>
          <w:sz w:val="18"/>
          <w:szCs w:val="18"/>
          <w:lang w:val="en-US"/>
        </w:rPr>
        <w:t>[2022]</w:t>
      </w:r>
      <w:r w:rsidRPr="00F10894">
        <w:rPr>
          <w:i/>
          <w:sz w:val="18"/>
          <w:szCs w:val="18"/>
          <w:lang w:val="en-US"/>
        </w:rPr>
        <w:t xml:space="preserve">, </w:t>
      </w:r>
      <w:r>
        <w:rPr>
          <w:sz w:val="18"/>
          <w:szCs w:val="18"/>
          <w:lang w:val="en-US"/>
        </w:rPr>
        <w:t xml:space="preserve">paras </w:t>
      </w:r>
      <w:r w:rsidRPr="00F10894">
        <w:rPr>
          <w:sz w:val="18"/>
          <w:szCs w:val="18"/>
          <w:lang w:val="en-US"/>
        </w:rPr>
        <w:t>68-69.</w:t>
      </w:r>
    </w:p>
  </w:footnote>
  <w:footnote w:id="55">
    <w:p w14:paraId="40C1F784" w14:textId="5A195574" w:rsidR="00467B24" w:rsidRPr="00F10894" w:rsidRDefault="00467B24" w:rsidP="00506988">
      <w:pPr>
        <w:pStyle w:val="Testonotaapidipagina"/>
        <w:spacing w:line="276" w:lineRule="auto"/>
        <w:jc w:val="both"/>
        <w:rPr>
          <w:sz w:val="18"/>
          <w:szCs w:val="18"/>
          <w:lang w:val="en-US"/>
        </w:rPr>
      </w:pPr>
      <w:r w:rsidRPr="00F10894">
        <w:rPr>
          <w:rStyle w:val="Rimandonotaapidipagina"/>
          <w:sz w:val="18"/>
          <w:szCs w:val="18"/>
        </w:rPr>
        <w:footnoteRef/>
      </w:r>
      <w:r>
        <w:rPr>
          <w:sz w:val="18"/>
          <w:szCs w:val="18"/>
          <w:lang w:val="en-US"/>
        </w:rPr>
        <w:t xml:space="preserve"> Case C-319/20</w:t>
      </w:r>
      <w:r w:rsidRPr="00F10894">
        <w:rPr>
          <w:sz w:val="18"/>
          <w:szCs w:val="18"/>
          <w:lang w:val="en-US"/>
        </w:rPr>
        <w:t xml:space="preserve"> </w:t>
      </w:r>
      <w:r w:rsidRPr="00F10894">
        <w:rPr>
          <w:i/>
          <w:sz w:val="18"/>
          <w:szCs w:val="18"/>
          <w:lang w:val="en-US"/>
        </w:rPr>
        <w:t>Meta Platforms</w:t>
      </w:r>
      <w:r>
        <w:rPr>
          <w:i/>
          <w:sz w:val="18"/>
          <w:szCs w:val="18"/>
          <w:lang w:val="en-US"/>
        </w:rPr>
        <w:t xml:space="preserve"> </w:t>
      </w:r>
      <w:r>
        <w:rPr>
          <w:sz w:val="18"/>
          <w:szCs w:val="18"/>
          <w:lang w:val="en-US"/>
        </w:rPr>
        <w:t>[2022]</w:t>
      </w:r>
      <w:r w:rsidRPr="00F10894">
        <w:rPr>
          <w:i/>
          <w:sz w:val="18"/>
          <w:szCs w:val="18"/>
          <w:lang w:val="en-US"/>
        </w:rPr>
        <w:t xml:space="preserve">, </w:t>
      </w:r>
      <w:r>
        <w:rPr>
          <w:sz w:val="18"/>
          <w:szCs w:val="18"/>
          <w:lang w:val="en-US"/>
        </w:rPr>
        <w:t>para</w:t>
      </w:r>
      <w:r w:rsidRPr="00F10894">
        <w:rPr>
          <w:sz w:val="18"/>
          <w:szCs w:val="18"/>
          <w:lang w:val="en-US"/>
        </w:rPr>
        <w:t xml:space="preserve"> 72.</w:t>
      </w:r>
    </w:p>
  </w:footnote>
  <w:footnote w:id="56">
    <w:p w14:paraId="59C954B5" w14:textId="25C1DE3D" w:rsidR="00467B24" w:rsidRPr="00F10894" w:rsidRDefault="00467B24" w:rsidP="00506988">
      <w:pPr>
        <w:pStyle w:val="Testonotaapidipagina"/>
        <w:spacing w:line="276" w:lineRule="auto"/>
        <w:jc w:val="both"/>
        <w:rPr>
          <w:bCs/>
          <w:sz w:val="18"/>
          <w:szCs w:val="18"/>
          <w:lang w:val="en-US"/>
        </w:rPr>
      </w:pPr>
      <w:r w:rsidRPr="00F10894">
        <w:rPr>
          <w:rStyle w:val="Rimandonotaapidipagina"/>
          <w:sz w:val="18"/>
          <w:szCs w:val="18"/>
        </w:rPr>
        <w:footnoteRef/>
      </w:r>
      <w:r>
        <w:rPr>
          <w:bCs/>
          <w:sz w:val="18"/>
          <w:szCs w:val="18"/>
          <w:lang w:val="en-US"/>
        </w:rPr>
        <w:t xml:space="preserve"> Case C-319/20 </w:t>
      </w:r>
      <w:r w:rsidRPr="0030177E">
        <w:rPr>
          <w:bCs/>
          <w:i/>
          <w:sz w:val="18"/>
          <w:szCs w:val="18"/>
          <w:lang w:val="en-US"/>
        </w:rPr>
        <w:t>Meta Platforms</w:t>
      </w:r>
      <w:r>
        <w:rPr>
          <w:bCs/>
          <w:i/>
          <w:sz w:val="18"/>
          <w:szCs w:val="18"/>
          <w:lang w:val="en-US"/>
        </w:rPr>
        <w:t xml:space="preserve"> </w:t>
      </w:r>
      <w:r>
        <w:rPr>
          <w:sz w:val="18"/>
          <w:szCs w:val="18"/>
          <w:lang w:val="en-US"/>
        </w:rPr>
        <w:t>[2022]</w:t>
      </w:r>
      <w:r>
        <w:rPr>
          <w:bCs/>
          <w:sz w:val="18"/>
          <w:szCs w:val="18"/>
          <w:lang w:val="en-US"/>
        </w:rPr>
        <w:t xml:space="preserve">, </w:t>
      </w:r>
      <w:r w:rsidRPr="00F10894">
        <w:rPr>
          <w:bCs/>
          <w:sz w:val="18"/>
          <w:szCs w:val="18"/>
          <w:lang w:val="en-US"/>
        </w:rPr>
        <w:t>EU:C:2021:979,</w:t>
      </w:r>
      <w:r w:rsidRPr="0030177E">
        <w:rPr>
          <w:bCs/>
          <w:sz w:val="18"/>
          <w:szCs w:val="18"/>
          <w:lang w:val="en-US"/>
        </w:rPr>
        <w:t xml:space="preserve"> </w:t>
      </w:r>
      <w:r>
        <w:rPr>
          <w:bCs/>
          <w:sz w:val="18"/>
          <w:szCs w:val="18"/>
          <w:lang w:val="en-US"/>
        </w:rPr>
        <w:t>Opinion of AG</w:t>
      </w:r>
      <w:r w:rsidRPr="00F10894">
        <w:rPr>
          <w:bCs/>
          <w:sz w:val="18"/>
          <w:szCs w:val="18"/>
          <w:lang w:val="en-US"/>
        </w:rPr>
        <w:t xml:space="preserve"> Richard de la To</w:t>
      </w:r>
      <w:r>
        <w:rPr>
          <w:bCs/>
          <w:sz w:val="18"/>
          <w:szCs w:val="18"/>
          <w:lang w:val="en-US"/>
        </w:rPr>
        <w:t>ur, para</w:t>
      </w:r>
      <w:r w:rsidRPr="00F10894">
        <w:rPr>
          <w:bCs/>
          <w:sz w:val="18"/>
          <w:szCs w:val="18"/>
          <w:lang w:val="en-US"/>
        </w:rPr>
        <w:t xml:space="preserve"> 1.</w:t>
      </w:r>
    </w:p>
  </w:footnote>
  <w:footnote w:id="57">
    <w:p w14:paraId="34899405" w14:textId="517199E0" w:rsidR="00467B24" w:rsidRPr="00F10894" w:rsidRDefault="00467B24" w:rsidP="00F10894">
      <w:pPr>
        <w:pStyle w:val="Testonotaapidipagina"/>
        <w:spacing w:line="276" w:lineRule="auto"/>
        <w:jc w:val="both"/>
        <w:rPr>
          <w:sz w:val="18"/>
          <w:szCs w:val="18"/>
          <w:lang w:val="en-US"/>
        </w:rPr>
      </w:pPr>
      <w:r w:rsidRPr="00F10894">
        <w:rPr>
          <w:rStyle w:val="Rimandonotaapidipagina"/>
          <w:sz w:val="18"/>
          <w:szCs w:val="18"/>
        </w:rPr>
        <w:footnoteRef/>
      </w:r>
      <w:r>
        <w:rPr>
          <w:sz w:val="18"/>
          <w:szCs w:val="18"/>
          <w:lang w:val="en-US"/>
        </w:rPr>
        <w:t xml:space="preserve"> Case C-319/20</w:t>
      </w:r>
      <w:r w:rsidRPr="00F10894">
        <w:rPr>
          <w:sz w:val="18"/>
          <w:szCs w:val="18"/>
          <w:lang w:val="en-US"/>
        </w:rPr>
        <w:t xml:space="preserve"> </w:t>
      </w:r>
      <w:r>
        <w:rPr>
          <w:i/>
          <w:sz w:val="18"/>
          <w:szCs w:val="18"/>
          <w:lang w:val="en-US"/>
        </w:rPr>
        <w:t xml:space="preserve">Meta Platforms </w:t>
      </w:r>
      <w:r>
        <w:rPr>
          <w:sz w:val="18"/>
          <w:szCs w:val="18"/>
          <w:lang w:val="en-US"/>
        </w:rPr>
        <w:t>[2022]</w:t>
      </w:r>
      <w:r>
        <w:rPr>
          <w:i/>
          <w:sz w:val="18"/>
          <w:szCs w:val="18"/>
          <w:lang w:val="en-US"/>
        </w:rPr>
        <w:t>,</w:t>
      </w:r>
      <w:r w:rsidRPr="00F10894">
        <w:rPr>
          <w:i/>
          <w:sz w:val="18"/>
          <w:szCs w:val="18"/>
          <w:lang w:val="en-US"/>
        </w:rPr>
        <w:t xml:space="preserve"> </w:t>
      </w:r>
      <w:r>
        <w:rPr>
          <w:sz w:val="18"/>
          <w:szCs w:val="18"/>
          <w:lang w:val="en-US"/>
        </w:rPr>
        <w:t>paras</w:t>
      </w:r>
      <w:r w:rsidRPr="00F10894">
        <w:rPr>
          <w:sz w:val="18"/>
          <w:szCs w:val="18"/>
          <w:lang w:val="en-US"/>
        </w:rPr>
        <w:t xml:space="preserve"> 78-79.</w:t>
      </w:r>
    </w:p>
  </w:footnote>
  <w:footnote w:id="58">
    <w:p w14:paraId="30C0C465" w14:textId="5966C835" w:rsidR="00467B24" w:rsidRPr="00A15D03" w:rsidRDefault="00467B24" w:rsidP="00A15D03">
      <w:pPr>
        <w:pStyle w:val="Testonotaapidipagina"/>
        <w:spacing w:line="276" w:lineRule="auto"/>
        <w:jc w:val="both"/>
        <w:rPr>
          <w:sz w:val="18"/>
          <w:szCs w:val="18"/>
          <w:lang w:val="en-US"/>
        </w:rPr>
      </w:pPr>
      <w:r w:rsidRPr="00A15D03">
        <w:rPr>
          <w:rStyle w:val="Rimandonotaapidipagina"/>
          <w:sz w:val="18"/>
          <w:szCs w:val="18"/>
        </w:rPr>
        <w:footnoteRef/>
      </w:r>
      <w:r w:rsidRPr="00A15D03">
        <w:rPr>
          <w:sz w:val="18"/>
          <w:szCs w:val="18"/>
          <w:lang w:val="en-US"/>
        </w:rPr>
        <w:t xml:space="preserve"> Case </w:t>
      </w:r>
      <w:r>
        <w:rPr>
          <w:sz w:val="18"/>
          <w:szCs w:val="18"/>
          <w:lang w:val="en-US"/>
        </w:rPr>
        <w:t>C-319/20</w:t>
      </w:r>
      <w:r w:rsidRPr="00F10894">
        <w:rPr>
          <w:sz w:val="18"/>
          <w:szCs w:val="18"/>
          <w:lang w:val="en-US"/>
        </w:rPr>
        <w:t xml:space="preserve"> </w:t>
      </w:r>
      <w:r w:rsidRPr="00F10894">
        <w:rPr>
          <w:i/>
          <w:sz w:val="18"/>
          <w:szCs w:val="18"/>
          <w:lang w:val="en-US"/>
        </w:rPr>
        <w:t>Meta Platforms</w:t>
      </w:r>
      <w:r>
        <w:rPr>
          <w:sz w:val="18"/>
          <w:szCs w:val="18"/>
          <w:lang w:val="en-US"/>
        </w:rPr>
        <w:t xml:space="preserve"> [2022]</w:t>
      </w:r>
      <w:r w:rsidRPr="00F10894">
        <w:rPr>
          <w:i/>
          <w:sz w:val="18"/>
          <w:szCs w:val="18"/>
          <w:lang w:val="en-US"/>
        </w:rPr>
        <w:t>,</w:t>
      </w:r>
      <w:r>
        <w:rPr>
          <w:sz w:val="18"/>
          <w:szCs w:val="18"/>
          <w:lang w:val="en-US"/>
        </w:rPr>
        <w:t xml:space="preserve"> paras</w:t>
      </w:r>
      <w:r w:rsidRPr="00A15D03">
        <w:rPr>
          <w:sz w:val="18"/>
          <w:szCs w:val="18"/>
          <w:lang w:val="en-US"/>
        </w:rPr>
        <w:t xml:space="preserve"> 80-82.</w:t>
      </w:r>
    </w:p>
  </w:footnote>
  <w:footnote w:id="59">
    <w:p w14:paraId="5C11B758" w14:textId="347386EA" w:rsidR="00467B24" w:rsidRPr="00F10894" w:rsidRDefault="00467B24" w:rsidP="00DF3FD0">
      <w:pPr>
        <w:pStyle w:val="Testonotaapidipagina"/>
        <w:spacing w:line="276" w:lineRule="auto"/>
        <w:jc w:val="both"/>
        <w:rPr>
          <w:sz w:val="18"/>
          <w:szCs w:val="18"/>
          <w:lang w:val="en-US"/>
        </w:rPr>
      </w:pPr>
      <w:r w:rsidRPr="00F10894">
        <w:rPr>
          <w:rStyle w:val="Rimandonotaapidipagina"/>
          <w:sz w:val="18"/>
          <w:szCs w:val="18"/>
        </w:rPr>
        <w:footnoteRef/>
      </w:r>
      <w:r>
        <w:rPr>
          <w:sz w:val="18"/>
          <w:szCs w:val="18"/>
          <w:lang w:val="en-US"/>
        </w:rPr>
        <w:t xml:space="preserve"> </w:t>
      </w:r>
      <w:r w:rsidRPr="002B06CB">
        <w:rPr>
          <w:sz w:val="18"/>
          <w:lang w:val="en-US"/>
        </w:rPr>
        <w:t>Csongor</w:t>
      </w:r>
      <w:r>
        <w:rPr>
          <w:sz w:val="18"/>
          <w:lang w:val="en-US"/>
        </w:rPr>
        <w:t xml:space="preserve"> </w:t>
      </w:r>
      <w:r w:rsidRPr="002B06CB">
        <w:rPr>
          <w:sz w:val="18"/>
          <w:lang w:val="en-US"/>
        </w:rPr>
        <w:t xml:space="preserve">Istàvn </w:t>
      </w:r>
      <w:r>
        <w:rPr>
          <w:sz w:val="18"/>
          <w:szCs w:val="18"/>
          <w:lang w:val="en-US"/>
        </w:rPr>
        <w:t>Nagy (n. 23) 23ff.</w:t>
      </w:r>
    </w:p>
  </w:footnote>
  <w:footnote w:id="60">
    <w:p w14:paraId="288AD0DB" w14:textId="3B090D3D" w:rsidR="00467B24" w:rsidRPr="000F556F" w:rsidRDefault="00467B24" w:rsidP="008E3363">
      <w:pPr>
        <w:pStyle w:val="Testonotaapidipagina"/>
        <w:spacing w:line="276" w:lineRule="auto"/>
        <w:jc w:val="both"/>
        <w:rPr>
          <w:sz w:val="18"/>
          <w:szCs w:val="18"/>
          <w:lang w:val="en-US"/>
        </w:rPr>
      </w:pPr>
      <w:r w:rsidRPr="008E3363">
        <w:rPr>
          <w:rStyle w:val="Rimandonotaapidipagina"/>
          <w:sz w:val="18"/>
          <w:szCs w:val="18"/>
        </w:rPr>
        <w:footnoteRef/>
      </w:r>
      <w:r w:rsidRPr="008E3363">
        <w:rPr>
          <w:sz w:val="18"/>
          <w:szCs w:val="18"/>
          <w:lang w:val="en-US"/>
        </w:rPr>
        <w:t xml:space="preserve"> </w:t>
      </w:r>
      <w:r>
        <w:rPr>
          <w:sz w:val="18"/>
          <w:szCs w:val="18"/>
          <w:lang w:val="en-US"/>
        </w:rPr>
        <w:t xml:space="preserve">European Commission, Access of Consumers to Justice And The Settlement of Consumer Disputes in The Single Market </w:t>
      </w:r>
      <w:r w:rsidRPr="000F556F">
        <w:rPr>
          <w:sz w:val="18"/>
          <w:szCs w:val="18"/>
          <w:lang w:val="en-US"/>
        </w:rPr>
        <w:t>COM(93)576 final (1993).</w:t>
      </w:r>
    </w:p>
  </w:footnote>
  <w:footnote w:id="61">
    <w:p w14:paraId="2EB3A04F" w14:textId="7EF678C5" w:rsidR="00467B24" w:rsidRPr="000F556F" w:rsidRDefault="00467B24" w:rsidP="00DF3FD0">
      <w:pPr>
        <w:pStyle w:val="Testonotaapidipagina"/>
        <w:spacing w:line="276" w:lineRule="auto"/>
        <w:jc w:val="both"/>
        <w:rPr>
          <w:sz w:val="18"/>
          <w:highlight w:val="green"/>
          <w:lang w:val="en-US"/>
        </w:rPr>
      </w:pPr>
      <w:r w:rsidRPr="000F556F">
        <w:rPr>
          <w:rStyle w:val="Rimandonotaapidipagina"/>
          <w:sz w:val="18"/>
          <w:szCs w:val="18"/>
        </w:rPr>
        <w:footnoteRef/>
      </w:r>
      <w:r w:rsidRPr="000F556F">
        <w:rPr>
          <w:sz w:val="18"/>
          <w:szCs w:val="18"/>
          <w:lang w:val="en-US"/>
        </w:rPr>
        <w:t xml:space="preserve"> </w:t>
      </w:r>
      <w:r w:rsidRPr="000F556F">
        <w:rPr>
          <w:sz w:val="18"/>
          <w:lang w:val="en-US"/>
        </w:rPr>
        <w:t>Directive 98/27/EC of the European Parliament and of the Council of 19 May 1998 on injunctions for the protection of consumers' interests [1998] OJ 2 166/0051.</w:t>
      </w:r>
    </w:p>
  </w:footnote>
  <w:footnote w:id="62">
    <w:p w14:paraId="3C19BB69" w14:textId="65ECC600" w:rsidR="00467B24" w:rsidRPr="00AF5BD2" w:rsidRDefault="00467B24" w:rsidP="00DF3FD0">
      <w:pPr>
        <w:pStyle w:val="Testonotaapidipagina"/>
        <w:spacing w:line="276" w:lineRule="auto"/>
        <w:jc w:val="both"/>
        <w:rPr>
          <w:sz w:val="18"/>
          <w:lang w:val="en-US"/>
        </w:rPr>
      </w:pPr>
      <w:r w:rsidRPr="00F10894">
        <w:rPr>
          <w:rStyle w:val="Rimandonotaapidipagina"/>
          <w:sz w:val="18"/>
          <w:szCs w:val="18"/>
        </w:rPr>
        <w:footnoteRef/>
      </w:r>
      <w:r w:rsidRPr="00F10894">
        <w:rPr>
          <w:sz w:val="18"/>
          <w:szCs w:val="18"/>
          <w:lang w:val="en-US"/>
        </w:rPr>
        <w:t xml:space="preserve"> </w:t>
      </w:r>
      <w:r w:rsidRPr="00AF5BD2">
        <w:rPr>
          <w:sz w:val="18"/>
          <w:lang w:val="en-US"/>
        </w:rPr>
        <w:t>Directive 2009/22/EC of the European Parliament and of the Council of 23 April 2009 on injunctions for the prot</w:t>
      </w:r>
      <w:r>
        <w:rPr>
          <w:sz w:val="18"/>
          <w:lang w:val="en-US"/>
        </w:rPr>
        <w:t>ection of consumers' interests</w:t>
      </w:r>
      <w:r w:rsidRPr="00AF5BD2">
        <w:rPr>
          <w:sz w:val="18"/>
          <w:lang w:val="en-US"/>
        </w:rPr>
        <w:t xml:space="preserve"> [2009] OJ 2 110/30</w:t>
      </w:r>
      <w:r>
        <w:rPr>
          <w:sz w:val="18"/>
          <w:lang w:val="en-US"/>
        </w:rPr>
        <w:t>.</w:t>
      </w:r>
    </w:p>
  </w:footnote>
  <w:footnote w:id="63">
    <w:p w14:paraId="42377446" w14:textId="476F03D2" w:rsidR="00467B24" w:rsidRPr="00F10894" w:rsidRDefault="00467B24" w:rsidP="00DF3FD0">
      <w:pPr>
        <w:pStyle w:val="Testonotaapidipagina"/>
        <w:spacing w:line="276" w:lineRule="auto"/>
        <w:jc w:val="both"/>
        <w:rPr>
          <w:sz w:val="18"/>
          <w:szCs w:val="18"/>
          <w:lang w:val="en-US"/>
        </w:rPr>
      </w:pPr>
      <w:r w:rsidRPr="00F10894">
        <w:rPr>
          <w:rStyle w:val="Rimandonotaapidipagina"/>
          <w:sz w:val="18"/>
          <w:szCs w:val="18"/>
        </w:rPr>
        <w:footnoteRef/>
      </w:r>
      <w:r w:rsidRPr="00F10894">
        <w:rPr>
          <w:sz w:val="18"/>
          <w:szCs w:val="18"/>
          <w:lang w:val="en-US"/>
        </w:rPr>
        <w:t xml:space="preserve"> European Parliament’s JURI Committee, </w:t>
      </w:r>
      <w:r w:rsidRPr="00AF5BD2">
        <w:rPr>
          <w:i/>
          <w:sz w:val="18"/>
          <w:szCs w:val="18"/>
          <w:lang w:val="en-US"/>
        </w:rPr>
        <w:t>Collective redress in the Member States of the European Union</w:t>
      </w:r>
      <w:r>
        <w:rPr>
          <w:i/>
          <w:sz w:val="18"/>
          <w:szCs w:val="18"/>
          <w:lang w:val="en-US"/>
        </w:rPr>
        <w:t xml:space="preserve"> </w:t>
      </w:r>
      <w:r>
        <w:rPr>
          <w:sz w:val="18"/>
          <w:szCs w:val="18"/>
          <w:lang w:val="en-US"/>
        </w:rPr>
        <w:t>(2018) 17ff. The implications and shortcomings of the fragmentation of collective redress systems were demonstrated in the Dieselgate case (Beate Gsell,</w:t>
      </w:r>
      <w:r w:rsidRPr="004D4657">
        <w:rPr>
          <w:i/>
          <w:sz w:val="18"/>
          <w:szCs w:val="18"/>
          <w:lang w:val="en-US"/>
        </w:rPr>
        <w:t xml:space="preserve"> </w:t>
      </w:r>
      <w:r w:rsidRPr="00A456CE">
        <w:rPr>
          <w:sz w:val="18"/>
          <w:szCs w:val="18"/>
          <w:lang w:val="en-US"/>
        </w:rPr>
        <w:t>‘The New European Directive on Representative Actions for the Protection of the Collective Interests of Consumers – A Huge, But Blurry Step Forward’</w:t>
      </w:r>
      <w:r w:rsidRPr="00F10894">
        <w:rPr>
          <w:sz w:val="18"/>
          <w:szCs w:val="18"/>
          <w:lang w:val="en-US"/>
        </w:rPr>
        <w:t xml:space="preserve"> </w:t>
      </w:r>
      <w:r>
        <w:rPr>
          <w:sz w:val="18"/>
          <w:szCs w:val="18"/>
          <w:lang w:val="en-US"/>
        </w:rPr>
        <w:t xml:space="preserve">(2021) 58(5) CML Rev 1365 ff). </w:t>
      </w:r>
    </w:p>
  </w:footnote>
  <w:footnote w:id="64">
    <w:p w14:paraId="38D74754" w14:textId="14A424C0" w:rsidR="00467B24" w:rsidRPr="006B3D5B" w:rsidRDefault="00467B24" w:rsidP="00506988">
      <w:pPr>
        <w:pStyle w:val="Testonotaapidipagina"/>
        <w:spacing w:line="276" w:lineRule="auto"/>
        <w:jc w:val="both"/>
        <w:rPr>
          <w:sz w:val="18"/>
          <w:szCs w:val="18"/>
          <w:lang w:val="en-US"/>
        </w:rPr>
      </w:pPr>
      <w:r w:rsidRPr="006B3D5B">
        <w:rPr>
          <w:rStyle w:val="Rimandonotaapidipagina"/>
          <w:sz w:val="18"/>
          <w:szCs w:val="18"/>
        </w:rPr>
        <w:footnoteRef/>
      </w:r>
      <w:r w:rsidRPr="006B3D5B">
        <w:rPr>
          <w:sz w:val="18"/>
          <w:szCs w:val="18"/>
          <w:lang w:val="en-US"/>
        </w:rPr>
        <w:t xml:space="preserve"> </w:t>
      </w:r>
      <w:r>
        <w:rPr>
          <w:sz w:val="18"/>
          <w:szCs w:val="18"/>
          <w:lang w:val="en-US"/>
        </w:rPr>
        <w:t>Dir (EU) 2020/1828 art 3, 10).</w:t>
      </w:r>
    </w:p>
  </w:footnote>
  <w:footnote w:id="65">
    <w:p w14:paraId="7BCE8F16" w14:textId="1DD0EAE6" w:rsidR="00467B24" w:rsidRPr="00F10894" w:rsidRDefault="00467B24" w:rsidP="00AE1D18">
      <w:pPr>
        <w:pStyle w:val="Testonotaapidipagina"/>
        <w:spacing w:line="276" w:lineRule="auto"/>
        <w:jc w:val="both"/>
        <w:rPr>
          <w:sz w:val="18"/>
          <w:szCs w:val="18"/>
          <w:lang w:val="en-US"/>
        </w:rPr>
      </w:pPr>
      <w:r w:rsidRPr="00F10894">
        <w:rPr>
          <w:rStyle w:val="Rimandonotaapidipagina"/>
          <w:sz w:val="18"/>
          <w:szCs w:val="18"/>
        </w:rPr>
        <w:footnoteRef/>
      </w:r>
      <w:r w:rsidRPr="00F10894">
        <w:rPr>
          <w:sz w:val="18"/>
          <w:szCs w:val="18"/>
          <w:lang w:val="en-US"/>
        </w:rPr>
        <w:t xml:space="preserve"> </w:t>
      </w:r>
      <w:r>
        <w:rPr>
          <w:sz w:val="18"/>
          <w:szCs w:val="18"/>
          <w:lang w:val="en-US"/>
        </w:rPr>
        <w:t>Dir (EU) 2020/1828 art 2, para 2.</w:t>
      </w:r>
    </w:p>
  </w:footnote>
  <w:footnote w:id="66">
    <w:p w14:paraId="0FA9F141" w14:textId="2A7628F3" w:rsidR="00467B24" w:rsidRPr="00F10894" w:rsidRDefault="00467B24" w:rsidP="00AE1D18">
      <w:pPr>
        <w:pStyle w:val="Testonotaapidipagina"/>
        <w:spacing w:line="276" w:lineRule="auto"/>
        <w:jc w:val="both"/>
        <w:rPr>
          <w:sz w:val="18"/>
          <w:szCs w:val="18"/>
          <w:lang w:val="en-US"/>
        </w:rPr>
      </w:pPr>
      <w:r w:rsidRPr="004F5160">
        <w:rPr>
          <w:rStyle w:val="Rimandonotaapidipagina"/>
          <w:sz w:val="18"/>
          <w:szCs w:val="18"/>
        </w:rPr>
        <w:footnoteRef/>
      </w:r>
      <w:r w:rsidRPr="004F5160">
        <w:rPr>
          <w:sz w:val="18"/>
          <w:szCs w:val="18"/>
          <w:lang w:val="en-US"/>
        </w:rPr>
        <w:t xml:space="preserve"> Italian Civil Procedure Code, art 840 </w:t>
      </w:r>
      <w:r w:rsidRPr="004F5160">
        <w:rPr>
          <w:i/>
          <w:sz w:val="18"/>
          <w:szCs w:val="18"/>
          <w:lang w:val="en-US"/>
        </w:rPr>
        <w:t xml:space="preserve">bis </w:t>
      </w:r>
      <w:r w:rsidRPr="004F5160">
        <w:rPr>
          <w:sz w:val="18"/>
          <w:szCs w:val="18"/>
          <w:lang w:val="en-US"/>
        </w:rPr>
        <w:t>ff.</w:t>
      </w:r>
    </w:p>
  </w:footnote>
  <w:footnote w:id="67">
    <w:p w14:paraId="270FD2A3" w14:textId="4BD08B57" w:rsidR="00467B24" w:rsidRPr="00893262" w:rsidRDefault="00467B24" w:rsidP="00893262">
      <w:pPr>
        <w:pStyle w:val="Testonotaapidipagina"/>
        <w:spacing w:line="276" w:lineRule="auto"/>
        <w:jc w:val="both"/>
        <w:rPr>
          <w:sz w:val="18"/>
          <w:szCs w:val="18"/>
          <w:lang w:val="en-US"/>
        </w:rPr>
      </w:pPr>
      <w:r w:rsidRPr="00893262">
        <w:rPr>
          <w:rStyle w:val="Rimandonotaapidipagina"/>
          <w:sz w:val="18"/>
          <w:szCs w:val="18"/>
        </w:rPr>
        <w:footnoteRef/>
      </w:r>
      <w:r w:rsidRPr="00893262">
        <w:rPr>
          <w:sz w:val="18"/>
          <w:szCs w:val="18"/>
          <w:lang w:val="en-US"/>
        </w:rPr>
        <w:t xml:space="preserve"> </w:t>
      </w:r>
      <w:r>
        <w:rPr>
          <w:sz w:val="18"/>
          <w:szCs w:val="18"/>
          <w:lang w:val="en-US"/>
        </w:rPr>
        <w:t>The expression ‘collective interests of consumers’ was already used in Dir 2009/22/EC art 1 on injunctions for the protection of consumers’ interests, now repealed by Dir (EU) 2020/1828. However, the former stated that ‘c</w:t>
      </w:r>
      <w:r w:rsidRPr="006507A1">
        <w:rPr>
          <w:sz w:val="18"/>
          <w:szCs w:val="18"/>
          <w:lang w:val="en-US"/>
        </w:rPr>
        <w:t>ollective interests means interests which do not include the cumulation of interests of individuals who have been harmed by an infringement</w:t>
      </w:r>
      <w:r>
        <w:rPr>
          <w:sz w:val="18"/>
          <w:szCs w:val="18"/>
          <w:lang w:val="en-US"/>
        </w:rPr>
        <w:t>’ (Dir. 2009/22/EC, recital 3). In contrast, the notion of collective interests employed by Dir (EU) 2020/1828 is broader: ‘</w:t>
      </w:r>
      <w:r w:rsidRPr="001B6804">
        <w:rPr>
          <w:sz w:val="18"/>
          <w:szCs w:val="18"/>
          <w:lang w:val="en-US"/>
        </w:rPr>
        <w:t>the general interest of consumers and, in particular for the purposes of redress measures, the i</w:t>
      </w:r>
      <w:r>
        <w:rPr>
          <w:sz w:val="18"/>
          <w:szCs w:val="18"/>
          <w:lang w:val="en-US"/>
        </w:rPr>
        <w:t>nterests of a group of consumers’ (Dir (EU) 2020/1828 art 3, Definitions).</w:t>
      </w:r>
    </w:p>
  </w:footnote>
  <w:footnote w:id="68">
    <w:p w14:paraId="1C85D11C" w14:textId="6DA3E7ED" w:rsidR="00467B24" w:rsidRPr="00FA7EAC" w:rsidRDefault="00467B24" w:rsidP="00FA7EAC">
      <w:pPr>
        <w:pStyle w:val="Testonotaapidipagina"/>
        <w:spacing w:line="276" w:lineRule="auto"/>
        <w:jc w:val="both"/>
        <w:rPr>
          <w:sz w:val="18"/>
          <w:szCs w:val="18"/>
          <w:lang w:val="en-US"/>
        </w:rPr>
      </w:pPr>
      <w:r w:rsidRPr="00FA7EAC">
        <w:rPr>
          <w:rStyle w:val="Rimandonotaapidipagina"/>
          <w:sz w:val="18"/>
          <w:szCs w:val="18"/>
        </w:rPr>
        <w:footnoteRef/>
      </w:r>
      <w:r w:rsidRPr="00FA7EAC">
        <w:rPr>
          <w:sz w:val="18"/>
          <w:szCs w:val="18"/>
          <w:lang w:val="en-US"/>
        </w:rPr>
        <w:t xml:space="preserve"> </w:t>
      </w:r>
      <w:r>
        <w:rPr>
          <w:sz w:val="18"/>
          <w:szCs w:val="18"/>
          <w:lang w:val="en-US"/>
        </w:rPr>
        <w:t>Dir (EU) 2020/1828, annex I (56).</w:t>
      </w:r>
    </w:p>
  </w:footnote>
  <w:footnote w:id="69">
    <w:p w14:paraId="782DA4BE" w14:textId="4D6EBCF8" w:rsidR="00467B24" w:rsidRPr="00F10894" w:rsidRDefault="00467B24" w:rsidP="00AE1D18">
      <w:pPr>
        <w:pStyle w:val="Testonotaapidipagina"/>
        <w:spacing w:line="276" w:lineRule="auto"/>
        <w:jc w:val="both"/>
        <w:rPr>
          <w:sz w:val="18"/>
          <w:szCs w:val="18"/>
          <w:lang w:val="en-US"/>
        </w:rPr>
      </w:pPr>
      <w:r w:rsidRPr="00F10894">
        <w:rPr>
          <w:rStyle w:val="Rimandonotaapidipagina"/>
          <w:sz w:val="18"/>
          <w:szCs w:val="18"/>
        </w:rPr>
        <w:footnoteRef/>
      </w:r>
      <w:r w:rsidRPr="00F10894">
        <w:rPr>
          <w:sz w:val="18"/>
          <w:szCs w:val="18"/>
          <w:lang w:val="en-US"/>
        </w:rPr>
        <w:t xml:space="preserve"> </w:t>
      </w:r>
      <w:r>
        <w:rPr>
          <w:sz w:val="18"/>
          <w:szCs w:val="18"/>
          <w:lang w:val="en-US"/>
        </w:rPr>
        <w:t>Natali Helberger</w:t>
      </w:r>
      <w:r w:rsidRPr="00F10894">
        <w:rPr>
          <w:sz w:val="18"/>
          <w:szCs w:val="18"/>
          <w:lang w:val="en-US"/>
        </w:rPr>
        <w:t xml:space="preserve">, </w:t>
      </w:r>
      <w:r>
        <w:rPr>
          <w:sz w:val="18"/>
          <w:szCs w:val="18"/>
          <w:lang w:val="en-US"/>
        </w:rPr>
        <w:t xml:space="preserve">Frederik </w:t>
      </w:r>
      <w:r w:rsidRPr="00F10894">
        <w:rPr>
          <w:sz w:val="18"/>
          <w:szCs w:val="18"/>
          <w:lang w:val="en-US"/>
        </w:rPr>
        <w:t>Zeuidervee</w:t>
      </w:r>
      <w:r>
        <w:rPr>
          <w:sz w:val="18"/>
          <w:szCs w:val="18"/>
          <w:lang w:val="en-US"/>
        </w:rPr>
        <w:t>n Borgesius and Agustin Reyna</w:t>
      </w:r>
      <w:r w:rsidRPr="00F10894">
        <w:rPr>
          <w:sz w:val="18"/>
          <w:szCs w:val="18"/>
          <w:lang w:val="en-US"/>
        </w:rPr>
        <w:t xml:space="preserve">, </w:t>
      </w:r>
      <w:r w:rsidRPr="004F5160">
        <w:rPr>
          <w:sz w:val="18"/>
          <w:szCs w:val="18"/>
          <w:lang w:val="en-US"/>
        </w:rPr>
        <w:t xml:space="preserve">‘The perfect match? A closer look at the relationship between EU consumer law and data protection law’ </w:t>
      </w:r>
      <w:r>
        <w:rPr>
          <w:sz w:val="18"/>
          <w:szCs w:val="18"/>
          <w:lang w:val="en-US"/>
        </w:rPr>
        <w:t xml:space="preserve">(2017) 54(5) </w:t>
      </w:r>
      <w:r w:rsidRPr="004F5160">
        <w:rPr>
          <w:sz w:val="18"/>
          <w:szCs w:val="18"/>
          <w:lang w:val="en-US"/>
        </w:rPr>
        <w:t>CML</w:t>
      </w:r>
      <w:r>
        <w:rPr>
          <w:sz w:val="18"/>
          <w:szCs w:val="18"/>
          <w:lang w:val="en-US"/>
        </w:rPr>
        <w:t xml:space="preserve"> </w:t>
      </w:r>
      <w:r w:rsidRPr="004F5160">
        <w:rPr>
          <w:sz w:val="18"/>
          <w:szCs w:val="18"/>
          <w:lang w:val="en-US"/>
        </w:rPr>
        <w:t>R</w:t>
      </w:r>
      <w:r>
        <w:rPr>
          <w:sz w:val="18"/>
          <w:szCs w:val="18"/>
          <w:lang w:val="en-US"/>
        </w:rPr>
        <w:t>ev</w:t>
      </w:r>
      <w:r w:rsidRPr="004F5160">
        <w:rPr>
          <w:sz w:val="18"/>
          <w:szCs w:val="18"/>
          <w:lang w:val="en-US"/>
        </w:rPr>
        <w:t xml:space="preserve"> </w:t>
      </w:r>
      <w:r>
        <w:rPr>
          <w:sz w:val="18"/>
          <w:szCs w:val="18"/>
          <w:lang w:val="en-US"/>
        </w:rPr>
        <w:t>1427ff.</w:t>
      </w:r>
    </w:p>
  </w:footnote>
  <w:footnote w:id="70">
    <w:p w14:paraId="6D95608A" w14:textId="1079DA2F" w:rsidR="00467B24" w:rsidRPr="008705C0" w:rsidRDefault="00467B24" w:rsidP="00506988">
      <w:pPr>
        <w:pStyle w:val="Testonotaapidipagina"/>
        <w:spacing w:line="276" w:lineRule="auto"/>
        <w:jc w:val="both"/>
        <w:rPr>
          <w:sz w:val="18"/>
          <w:lang w:val="en-US"/>
        </w:rPr>
      </w:pPr>
      <w:r w:rsidRPr="008705C0">
        <w:rPr>
          <w:rStyle w:val="Rimandonotaapidipagina"/>
          <w:sz w:val="18"/>
          <w:szCs w:val="18"/>
        </w:rPr>
        <w:footnoteRef/>
      </w:r>
      <w:r w:rsidRPr="008705C0">
        <w:rPr>
          <w:sz w:val="18"/>
          <w:szCs w:val="18"/>
          <w:lang w:val="en-US"/>
        </w:rPr>
        <w:t xml:space="preserve"> </w:t>
      </w:r>
      <w:r>
        <w:rPr>
          <w:sz w:val="18"/>
          <w:szCs w:val="18"/>
          <w:lang w:val="en-US"/>
        </w:rPr>
        <w:t>See Guy I. Seidman, ‘</w:t>
      </w:r>
      <w:r w:rsidRPr="004F5160">
        <w:rPr>
          <w:sz w:val="18"/>
          <w:szCs w:val="18"/>
          <w:lang w:val="en-US"/>
        </w:rPr>
        <w:t>Comparative Civil Procedure</w:t>
      </w:r>
      <w:r>
        <w:rPr>
          <w:sz w:val="18"/>
          <w:szCs w:val="18"/>
          <w:lang w:val="en-US"/>
        </w:rPr>
        <w:t xml:space="preserve">’ in Colin B. Picker and Guy I. Seidman (eds), </w:t>
      </w:r>
      <w:r w:rsidRPr="001D6221">
        <w:rPr>
          <w:i/>
          <w:sz w:val="18"/>
          <w:szCs w:val="18"/>
          <w:lang w:val="en-US"/>
        </w:rPr>
        <w:t>The Dynamism of Civil Procedure - Global Trends and Development</w:t>
      </w:r>
      <w:r>
        <w:rPr>
          <w:sz w:val="18"/>
          <w:szCs w:val="18"/>
          <w:lang w:val="en-US"/>
        </w:rPr>
        <w:t xml:space="preserve"> (Springer 2016, 8). See also Helge </w:t>
      </w:r>
      <w:r>
        <w:rPr>
          <w:sz w:val="18"/>
          <w:lang w:val="en-US"/>
        </w:rPr>
        <w:t>Dedek, ‘</w:t>
      </w:r>
      <w:r w:rsidRPr="004F5160">
        <w:rPr>
          <w:sz w:val="18"/>
          <w:lang w:val="en-US"/>
        </w:rPr>
        <w:t>From Norms to Facts: The Realization of Rights in Common and Civil Private Law</w:t>
      </w:r>
      <w:r>
        <w:rPr>
          <w:sz w:val="18"/>
          <w:lang w:val="en-US"/>
        </w:rPr>
        <w:t>’ (2010) 56(1) McGill L J 79-80.</w:t>
      </w:r>
    </w:p>
  </w:footnote>
  <w:footnote w:id="71">
    <w:p w14:paraId="507F159D" w14:textId="79DFEDB5" w:rsidR="00467B24" w:rsidRPr="00220C73" w:rsidRDefault="00467B24" w:rsidP="00220C73">
      <w:pPr>
        <w:pStyle w:val="Testonotaapidipagina"/>
        <w:spacing w:line="276" w:lineRule="auto"/>
        <w:jc w:val="both"/>
        <w:rPr>
          <w:sz w:val="18"/>
          <w:szCs w:val="18"/>
          <w:lang w:val="en-US"/>
        </w:rPr>
      </w:pPr>
      <w:r w:rsidRPr="00220C73">
        <w:rPr>
          <w:rStyle w:val="Rimandonotaapidipagina"/>
          <w:sz w:val="18"/>
          <w:szCs w:val="18"/>
        </w:rPr>
        <w:footnoteRef/>
      </w:r>
      <w:r w:rsidRPr="00220C73">
        <w:rPr>
          <w:sz w:val="18"/>
          <w:szCs w:val="18"/>
          <w:lang w:val="en-US"/>
        </w:rPr>
        <w:t xml:space="preserve"> </w:t>
      </w:r>
      <w:r>
        <w:rPr>
          <w:sz w:val="18"/>
          <w:szCs w:val="18"/>
          <w:lang w:val="en-US"/>
        </w:rPr>
        <w:t xml:space="preserve">See Ch. I. </w:t>
      </w:r>
    </w:p>
  </w:footnote>
  <w:footnote w:id="72">
    <w:p w14:paraId="57B0D96A" w14:textId="3B800885" w:rsidR="00467B24" w:rsidRPr="00F10894" w:rsidRDefault="00467B24" w:rsidP="00F10894">
      <w:pPr>
        <w:pStyle w:val="Testonotaapidipagina"/>
        <w:spacing w:line="276" w:lineRule="auto"/>
        <w:jc w:val="both"/>
        <w:rPr>
          <w:sz w:val="18"/>
          <w:szCs w:val="18"/>
          <w:lang w:val="en-US"/>
        </w:rPr>
      </w:pPr>
      <w:r w:rsidRPr="00300CF9">
        <w:rPr>
          <w:rStyle w:val="Rimandonotaapidipagina"/>
          <w:color w:val="000000" w:themeColor="text1"/>
          <w:sz w:val="18"/>
          <w:szCs w:val="18"/>
        </w:rPr>
        <w:footnoteRef/>
      </w:r>
      <w:r w:rsidRPr="00300CF9">
        <w:rPr>
          <w:color w:val="000000" w:themeColor="text1"/>
          <w:sz w:val="18"/>
          <w:szCs w:val="18"/>
          <w:lang w:val="en-US"/>
        </w:rPr>
        <w:t xml:space="preserve"> Communication from </w:t>
      </w:r>
      <w:r w:rsidRPr="00F10894">
        <w:rPr>
          <w:sz w:val="18"/>
          <w:szCs w:val="18"/>
          <w:lang w:val="en-US"/>
        </w:rPr>
        <w:t xml:space="preserve">the Commission to the European Parliament and the Council, </w:t>
      </w:r>
      <w:r>
        <w:rPr>
          <w:sz w:val="18"/>
          <w:szCs w:val="18"/>
          <w:lang w:val="en-US"/>
        </w:rPr>
        <w:t>‘</w:t>
      </w:r>
      <w:r w:rsidRPr="00F10894">
        <w:rPr>
          <w:sz w:val="18"/>
          <w:szCs w:val="18"/>
          <w:lang w:val="en-US"/>
        </w:rPr>
        <w:t>Data protection as a pillar of citizens’ empowerment and the EU’s approach to the digital transition - two years of application of the General Data Protection Regulation</w:t>
      </w:r>
      <w:r>
        <w:rPr>
          <w:sz w:val="18"/>
          <w:szCs w:val="18"/>
          <w:lang w:val="en-US"/>
        </w:rPr>
        <w:t>’</w:t>
      </w:r>
      <w:r w:rsidRPr="00F10894">
        <w:rPr>
          <w:sz w:val="18"/>
          <w:szCs w:val="18"/>
          <w:lang w:val="en-US"/>
        </w:rPr>
        <w:t xml:space="preserve"> COM/2020/26</w:t>
      </w:r>
      <w:r>
        <w:rPr>
          <w:sz w:val="18"/>
          <w:szCs w:val="18"/>
          <w:lang w:val="en-US"/>
        </w:rPr>
        <w:t>4 final, part. 2</w:t>
      </w:r>
      <w:r w:rsidRPr="00F10894">
        <w:rPr>
          <w:sz w:val="18"/>
          <w:szCs w:val="18"/>
          <w:lang w:val="en-US"/>
        </w:rPr>
        <w:t xml:space="preserve">; </w:t>
      </w:r>
      <w:r w:rsidRPr="00F0169F">
        <w:rPr>
          <w:sz w:val="18"/>
          <w:szCs w:val="18"/>
          <w:lang w:val="en-US"/>
        </w:rPr>
        <w:t>Commission Recommendation of 11 June 2013 on common principles on injunctive and compensatory collective redress mechanisms in the Member States concerning violations of rights granted under Union Law, 2013/396/EU [2013] OJ 2 201/60</w:t>
      </w:r>
      <w:r>
        <w:rPr>
          <w:sz w:val="18"/>
          <w:szCs w:val="18"/>
          <w:lang w:val="en-US"/>
        </w:rPr>
        <w:t>, r</w:t>
      </w:r>
      <w:r w:rsidRPr="00F10894">
        <w:rPr>
          <w:sz w:val="18"/>
          <w:szCs w:val="18"/>
          <w:lang w:val="en-US"/>
        </w:rPr>
        <w:t>ecital 6. See also European Parliament</w:t>
      </w:r>
      <w:r>
        <w:rPr>
          <w:sz w:val="18"/>
          <w:szCs w:val="18"/>
          <w:lang w:val="en-US"/>
        </w:rPr>
        <w:t xml:space="preserve">’s JURI Committee, (n. 64) </w:t>
      </w:r>
      <w:r w:rsidRPr="00F10894">
        <w:rPr>
          <w:sz w:val="18"/>
          <w:szCs w:val="18"/>
          <w:lang w:val="en-US"/>
        </w:rPr>
        <w:t>262.</w:t>
      </w:r>
    </w:p>
  </w:footnote>
  <w:footnote w:id="73">
    <w:p w14:paraId="471F0850" w14:textId="7E56F84A" w:rsidR="00467B24" w:rsidRPr="008F7C0E" w:rsidRDefault="00467B24" w:rsidP="00F10894">
      <w:pPr>
        <w:pStyle w:val="Testonotaapidipagina"/>
        <w:spacing w:line="276" w:lineRule="auto"/>
        <w:jc w:val="both"/>
        <w:rPr>
          <w:sz w:val="18"/>
          <w:szCs w:val="18"/>
        </w:rPr>
      </w:pPr>
      <w:r w:rsidRPr="00F10894">
        <w:rPr>
          <w:rStyle w:val="Rimandonotaapidipagina"/>
          <w:sz w:val="18"/>
          <w:szCs w:val="18"/>
        </w:rPr>
        <w:footnoteRef/>
      </w:r>
      <w:r>
        <w:rPr>
          <w:sz w:val="18"/>
          <w:szCs w:val="18"/>
          <w:lang w:val="en-US"/>
        </w:rPr>
        <w:t xml:space="preserve"> Dir (EU) 2020/1828, recital 1 ff</w:t>
      </w:r>
      <w:r w:rsidRPr="00917CC8">
        <w:rPr>
          <w:sz w:val="18"/>
          <w:szCs w:val="18"/>
          <w:lang w:val="en-US"/>
        </w:rPr>
        <w:t>.</w:t>
      </w:r>
      <w:r>
        <w:rPr>
          <w:sz w:val="18"/>
          <w:szCs w:val="18"/>
          <w:lang w:val="en-US"/>
        </w:rPr>
        <w:t xml:space="preserve"> See Beate </w:t>
      </w:r>
      <w:r w:rsidRPr="00F10894">
        <w:rPr>
          <w:sz w:val="18"/>
          <w:szCs w:val="18"/>
          <w:lang w:val="en-US"/>
        </w:rPr>
        <w:t xml:space="preserve">Gsell </w:t>
      </w:r>
      <w:r>
        <w:rPr>
          <w:sz w:val="18"/>
          <w:szCs w:val="18"/>
          <w:lang w:val="en-US"/>
        </w:rPr>
        <w:t>(n. 64), 1365 ff; Lena Hornkohl</w:t>
      </w:r>
      <w:r w:rsidRPr="00F10894">
        <w:rPr>
          <w:sz w:val="18"/>
          <w:szCs w:val="18"/>
          <w:lang w:val="en-US"/>
        </w:rPr>
        <w:t xml:space="preserve">, </w:t>
      </w:r>
      <w:r w:rsidRPr="00F0169F">
        <w:rPr>
          <w:sz w:val="18"/>
          <w:szCs w:val="18"/>
          <w:lang w:val="en-US"/>
        </w:rPr>
        <w:t>‘Up and Downsides of the New EU Directive on Representative Actions for the Protection of the Collective Interests of Consumers – Comments on Key Aspects’</w:t>
      </w:r>
      <w:r>
        <w:rPr>
          <w:sz w:val="18"/>
          <w:szCs w:val="18"/>
          <w:lang w:val="en-US"/>
        </w:rPr>
        <w:t xml:space="preserve"> (2021) 5 European Consumer &amp; Mar L 189 ff; Duncan Fairgrieve and</w:t>
      </w:r>
      <w:r w:rsidRPr="00F10894">
        <w:rPr>
          <w:sz w:val="18"/>
          <w:szCs w:val="18"/>
          <w:lang w:val="en-US"/>
        </w:rPr>
        <w:t xml:space="preserve"> </w:t>
      </w:r>
      <w:r>
        <w:rPr>
          <w:sz w:val="18"/>
          <w:szCs w:val="18"/>
          <w:lang w:val="en-US"/>
        </w:rPr>
        <w:t>Rhonson Salim,</w:t>
      </w:r>
      <w:r w:rsidRPr="00F10894">
        <w:rPr>
          <w:sz w:val="18"/>
          <w:szCs w:val="18"/>
          <w:lang w:val="en-US"/>
        </w:rPr>
        <w:t xml:space="preserve"> </w:t>
      </w:r>
      <w:r w:rsidRPr="00115BE1">
        <w:rPr>
          <w:sz w:val="18"/>
          <w:szCs w:val="18"/>
          <w:lang w:val="en-US"/>
        </w:rPr>
        <w:t>‘Collective Redress in Europe: Moving Forward or Treading Water?</w:t>
      </w:r>
      <w:r w:rsidRPr="00F0169F">
        <w:rPr>
          <w:i/>
          <w:sz w:val="18"/>
          <w:szCs w:val="18"/>
          <w:lang w:val="en-US"/>
        </w:rPr>
        <w:t>’</w:t>
      </w:r>
      <w:r w:rsidRPr="00F10894">
        <w:rPr>
          <w:i/>
          <w:sz w:val="18"/>
          <w:szCs w:val="18"/>
          <w:lang w:val="en-US"/>
        </w:rPr>
        <w:t xml:space="preserve"> </w:t>
      </w:r>
      <w:r w:rsidRPr="008F7C0E">
        <w:rPr>
          <w:sz w:val="18"/>
          <w:szCs w:val="18"/>
        </w:rPr>
        <w:t>(2022) 71(2) ICLQ 465 ff.</w:t>
      </w:r>
    </w:p>
  </w:footnote>
  <w:footnote w:id="74">
    <w:p w14:paraId="1E6039BC" w14:textId="4319F1B7" w:rsidR="00467B24" w:rsidRPr="006E39A6" w:rsidRDefault="00467B24" w:rsidP="00F10894">
      <w:pPr>
        <w:pStyle w:val="Testonotaapidipagina"/>
        <w:spacing w:line="276" w:lineRule="auto"/>
        <w:jc w:val="both"/>
        <w:rPr>
          <w:sz w:val="18"/>
          <w:szCs w:val="18"/>
          <w:lang w:val="en-US"/>
        </w:rPr>
      </w:pPr>
      <w:r w:rsidRPr="00F10894">
        <w:rPr>
          <w:rStyle w:val="Rimandonotaapidipagina"/>
          <w:sz w:val="18"/>
          <w:szCs w:val="18"/>
        </w:rPr>
        <w:footnoteRef/>
      </w:r>
      <w:r w:rsidRPr="006E39A6">
        <w:rPr>
          <w:sz w:val="18"/>
          <w:szCs w:val="18"/>
        </w:rPr>
        <w:t xml:space="preserve"> </w:t>
      </w:r>
      <w:r>
        <w:rPr>
          <w:sz w:val="18"/>
          <w:szCs w:val="18"/>
        </w:rPr>
        <w:t>Carmelita Camardi,</w:t>
      </w:r>
      <w:r w:rsidRPr="006E39A6">
        <w:rPr>
          <w:sz w:val="18"/>
          <w:szCs w:val="18"/>
        </w:rPr>
        <w:t xml:space="preserve"> </w:t>
      </w:r>
      <w:r>
        <w:rPr>
          <w:sz w:val="18"/>
          <w:szCs w:val="18"/>
        </w:rPr>
        <w:t>‘</w:t>
      </w:r>
      <w:r w:rsidRPr="00F0169F">
        <w:rPr>
          <w:sz w:val="18"/>
          <w:szCs w:val="18"/>
        </w:rPr>
        <w:t>Note critiche in tema di danno da illecito trattamento dei dati personali’</w:t>
      </w:r>
      <w:r w:rsidRPr="006E39A6">
        <w:rPr>
          <w:sz w:val="18"/>
          <w:szCs w:val="18"/>
        </w:rPr>
        <w:t xml:space="preserve"> </w:t>
      </w:r>
      <w:r>
        <w:rPr>
          <w:sz w:val="18"/>
          <w:szCs w:val="18"/>
        </w:rPr>
        <w:t xml:space="preserve">[2020] 3 </w:t>
      </w:r>
      <w:r w:rsidRPr="00F0169F">
        <w:rPr>
          <w:sz w:val="18"/>
          <w:szCs w:val="18"/>
        </w:rPr>
        <w:t>Jus Civile</w:t>
      </w:r>
      <w:r>
        <w:rPr>
          <w:sz w:val="18"/>
          <w:szCs w:val="18"/>
        </w:rPr>
        <w:t xml:space="preserve"> </w:t>
      </w:r>
      <w:r w:rsidRPr="006E39A6">
        <w:rPr>
          <w:sz w:val="18"/>
          <w:szCs w:val="18"/>
        </w:rPr>
        <w:t xml:space="preserve">810. </w:t>
      </w:r>
      <w:r>
        <w:rPr>
          <w:sz w:val="18"/>
          <w:szCs w:val="18"/>
          <w:lang w:val="en-US"/>
        </w:rPr>
        <w:t>As pointed out in recital 75 GDPR: ‘T</w:t>
      </w:r>
      <w:r w:rsidRPr="00F10894">
        <w:rPr>
          <w:sz w:val="18"/>
          <w:szCs w:val="18"/>
          <w:lang w:val="en-US"/>
        </w:rPr>
        <w:t xml:space="preserve">he risk to the rights and freedoms of natural persons, of varying likelihood and severity, may result from personal data processing which could lead to physical, material or non-material damage, in particular: where the processing may give rise to discrimination, identity theft or fraud, financial loss, damage to the reputation, loss of confidentiality of personal data protected by professional secrecy, unauthorised reversal of pseudonymisation, or any other significant </w:t>
      </w:r>
      <w:r>
        <w:rPr>
          <w:sz w:val="18"/>
          <w:szCs w:val="18"/>
          <w:lang w:val="en-US"/>
        </w:rPr>
        <w:t>economic or social disadvantage’</w:t>
      </w:r>
      <w:r w:rsidRPr="00F10894">
        <w:rPr>
          <w:sz w:val="18"/>
          <w:szCs w:val="18"/>
          <w:lang w:val="en-US"/>
        </w:rPr>
        <w:t>.</w:t>
      </w:r>
      <w:r>
        <w:rPr>
          <w:sz w:val="18"/>
          <w:szCs w:val="18"/>
          <w:lang w:val="en-US"/>
        </w:rPr>
        <w:t xml:space="preserve"> </w:t>
      </w:r>
    </w:p>
  </w:footnote>
  <w:footnote w:id="75">
    <w:p w14:paraId="0E9A442D" w14:textId="4E1AA793" w:rsidR="00467B24" w:rsidRPr="00F10894" w:rsidRDefault="00467B24" w:rsidP="00F10894">
      <w:pPr>
        <w:pStyle w:val="Testonotaapidipagina"/>
        <w:spacing w:line="276" w:lineRule="auto"/>
        <w:jc w:val="both"/>
        <w:rPr>
          <w:sz w:val="18"/>
          <w:szCs w:val="18"/>
          <w:lang w:val="en-US"/>
        </w:rPr>
      </w:pPr>
      <w:r w:rsidRPr="00F10894">
        <w:rPr>
          <w:rStyle w:val="Rimandonotaapidipagina"/>
          <w:sz w:val="18"/>
          <w:szCs w:val="18"/>
        </w:rPr>
        <w:footnoteRef/>
      </w:r>
      <w:r w:rsidRPr="00F10894">
        <w:rPr>
          <w:sz w:val="18"/>
          <w:szCs w:val="18"/>
          <w:lang w:val="en-US"/>
        </w:rPr>
        <w:t xml:space="preserve"> </w:t>
      </w:r>
      <w:r>
        <w:rPr>
          <w:sz w:val="18"/>
          <w:szCs w:val="18"/>
          <w:lang w:val="en-US"/>
        </w:rPr>
        <w:t>See again Dir (EU) 2020/1828, annex I (56).</w:t>
      </w:r>
    </w:p>
  </w:footnote>
  <w:footnote w:id="76">
    <w:p w14:paraId="6B66AAB1" w14:textId="3EE8B40A" w:rsidR="00467B24" w:rsidRPr="00F10894" w:rsidRDefault="00467B24" w:rsidP="00F10894">
      <w:pPr>
        <w:pStyle w:val="Testonotaapidipagina"/>
        <w:spacing w:line="276" w:lineRule="auto"/>
        <w:jc w:val="both"/>
        <w:rPr>
          <w:sz w:val="18"/>
          <w:szCs w:val="18"/>
          <w:lang w:val="en-US"/>
        </w:rPr>
      </w:pPr>
      <w:r w:rsidRPr="00F10894">
        <w:rPr>
          <w:rStyle w:val="Rimandonotaapidipagina"/>
          <w:sz w:val="18"/>
          <w:szCs w:val="18"/>
        </w:rPr>
        <w:footnoteRef/>
      </w:r>
      <w:r w:rsidRPr="00F10894">
        <w:rPr>
          <w:sz w:val="18"/>
          <w:szCs w:val="18"/>
          <w:lang w:val="en-US"/>
        </w:rPr>
        <w:t xml:space="preserve"> The notion of ‘group data protection’ stems from the concept of ‘collective dat</w:t>
      </w:r>
      <w:r>
        <w:rPr>
          <w:sz w:val="18"/>
          <w:szCs w:val="18"/>
          <w:lang w:val="en-US"/>
        </w:rPr>
        <w:t xml:space="preserve">a protection’, elaborated by Alessandro </w:t>
      </w:r>
      <w:r w:rsidRPr="00F10894">
        <w:rPr>
          <w:sz w:val="18"/>
          <w:szCs w:val="18"/>
          <w:lang w:val="en-US"/>
        </w:rPr>
        <w:t xml:space="preserve">Mantelero, inspired by the notion of ‘group privacy’. However, Mantelero focuses mainly on groups created by profiling techniques. Moreover, the Author does not seem to trust private enforcement tools, such as group actions, relying almost exclusively on the role of Supervisory Authorities. He also ends up emphasizing the collective dimension of data protection, </w:t>
      </w:r>
      <w:r>
        <w:rPr>
          <w:sz w:val="18"/>
          <w:szCs w:val="18"/>
          <w:lang w:val="en-US"/>
        </w:rPr>
        <w:t xml:space="preserve">as an aggregative interest. On this, </w:t>
      </w:r>
      <w:r w:rsidRPr="00F10894">
        <w:rPr>
          <w:sz w:val="18"/>
          <w:szCs w:val="18"/>
          <w:lang w:val="en-US"/>
        </w:rPr>
        <w:t>s</w:t>
      </w:r>
      <w:r>
        <w:rPr>
          <w:sz w:val="18"/>
          <w:szCs w:val="18"/>
          <w:lang w:val="en-US"/>
        </w:rPr>
        <w:t>ee Alessandro Mantelero, ‘</w:t>
      </w:r>
      <w:r w:rsidRPr="00F0169F">
        <w:rPr>
          <w:sz w:val="18"/>
          <w:szCs w:val="18"/>
          <w:lang w:val="en-US"/>
        </w:rPr>
        <w:t>Personal data for decisional purposes in the age of analytics: from an individual to a collective dimension of data protection’</w:t>
      </w:r>
      <w:r w:rsidRPr="00F10894">
        <w:rPr>
          <w:sz w:val="18"/>
          <w:szCs w:val="18"/>
          <w:lang w:val="en-US"/>
        </w:rPr>
        <w:t xml:space="preserve"> </w:t>
      </w:r>
      <w:r>
        <w:rPr>
          <w:sz w:val="18"/>
          <w:szCs w:val="18"/>
          <w:lang w:val="en-US"/>
        </w:rPr>
        <w:t xml:space="preserve">(2016) 32 </w:t>
      </w:r>
      <w:r w:rsidRPr="007074A2">
        <w:rPr>
          <w:sz w:val="18"/>
          <w:szCs w:val="18"/>
          <w:lang w:val="en-US"/>
        </w:rPr>
        <w:t>Computer L &amp; Security Rev</w:t>
      </w:r>
      <w:r>
        <w:rPr>
          <w:sz w:val="18"/>
          <w:szCs w:val="18"/>
          <w:lang w:val="en-US"/>
        </w:rPr>
        <w:t>, 13, and Alessandro Mantelero,</w:t>
      </w:r>
      <w:r w:rsidRPr="00F10894">
        <w:rPr>
          <w:sz w:val="18"/>
          <w:szCs w:val="18"/>
          <w:lang w:val="en-US"/>
        </w:rPr>
        <w:t xml:space="preserve"> </w:t>
      </w:r>
      <w:r>
        <w:rPr>
          <w:sz w:val="18"/>
          <w:szCs w:val="18"/>
          <w:lang w:val="en-US"/>
        </w:rPr>
        <w:t>‘</w:t>
      </w:r>
      <w:r w:rsidRPr="007074A2">
        <w:rPr>
          <w:sz w:val="18"/>
          <w:szCs w:val="18"/>
          <w:lang w:val="en-US"/>
        </w:rPr>
        <w:t>From group privacy to collective privacy: towards a new dimension of privacy and data</w:t>
      </w:r>
      <w:r>
        <w:rPr>
          <w:sz w:val="18"/>
          <w:szCs w:val="18"/>
          <w:lang w:val="en-US"/>
        </w:rPr>
        <w:t xml:space="preserve"> protection in the big data era’ in Luciano Floridi, Linnet Taylor and Bart Van der Sloot (eds</w:t>
      </w:r>
      <w:r w:rsidRPr="00F10894">
        <w:rPr>
          <w:sz w:val="18"/>
          <w:szCs w:val="18"/>
          <w:lang w:val="en-US"/>
        </w:rPr>
        <w:t xml:space="preserve">), </w:t>
      </w:r>
      <w:r w:rsidRPr="00F10894">
        <w:rPr>
          <w:i/>
          <w:sz w:val="18"/>
          <w:szCs w:val="18"/>
          <w:lang w:val="en-US"/>
        </w:rPr>
        <w:t>Group privacy. New challenges of data technologies</w:t>
      </w:r>
      <w:r>
        <w:rPr>
          <w:i/>
          <w:sz w:val="18"/>
          <w:szCs w:val="18"/>
          <w:lang w:val="en-US"/>
        </w:rPr>
        <w:t xml:space="preserve"> </w:t>
      </w:r>
      <w:r>
        <w:rPr>
          <w:sz w:val="18"/>
          <w:szCs w:val="18"/>
          <w:lang w:val="en-US"/>
        </w:rPr>
        <w:t>(Springer 2017) 179 ff.</w:t>
      </w:r>
      <w:r w:rsidRPr="00F10894">
        <w:rPr>
          <w:sz w:val="18"/>
          <w:szCs w:val="18"/>
          <w:lang w:val="en-US"/>
        </w:rPr>
        <w:t xml:space="preserve"> On group</w:t>
      </w:r>
      <w:r>
        <w:rPr>
          <w:sz w:val="18"/>
          <w:szCs w:val="18"/>
          <w:lang w:val="en-US"/>
        </w:rPr>
        <w:t xml:space="preserve"> privacy, Edward J. </w:t>
      </w:r>
      <w:r w:rsidRPr="00F10894">
        <w:rPr>
          <w:sz w:val="18"/>
          <w:szCs w:val="18"/>
          <w:lang w:val="en-US"/>
        </w:rPr>
        <w:t>Bloustein</w:t>
      </w:r>
      <w:r>
        <w:rPr>
          <w:sz w:val="18"/>
          <w:szCs w:val="18"/>
          <w:lang w:val="en-US"/>
        </w:rPr>
        <w:t>, ‘</w:t>
      </w:r>
      <w:r w:rsidRPr="007074A2">
        <w:rPr>
          <w:sz w:val="18"/>
          <w:szCs w:val="18"/>
          <w:lang w:val="en-US"/>
        </w:rPr>
        <w:t>Group Privacy: The Right to Huddle</w:t>
      </w:r>
      <w:r>
        <w:rPr>
          <w:sz w:val="18"/>
          <w:szCs w:val="18"/>
          <w:lang w:val="en-US"/>
        </w:rPr>
        <w:t>’</w:t>
      </w:r>
      <w:r>
        <w:rPr>
          <w:i/>
          <w:sz w:val="18"/>
          <w:szCs w:val="18"/>
          <w:lang w:val="en-US"/>
        </w:rPr>
        <w:t xml:space="preserve"> </w:t>
      </w:r>
      <w:r>
        <w:rPr>
          <w:sz w:val="18"/>
          <w:szCs w:val="18"/>
          <w:lang w:val="en-US"/>
        </w:rPr>
        <w:t xml:space="preserve">(1977) 8(12) </w:t>
      </w:r>
      <w:r w:rsidRPr="007074A2">
        <w:rPr>
          <w:sz w:val="18"/>
          <w:szCs w:val="18"/>
          <w:lang w:val="en-US"/>
        </w:rPr>
        <w:t>Rutgers-Cam</w:t>
      </w:r>
      <w:r>
        <w:rPr>
          <w:sz w:val="18"/>
          <w:szCs w:val="18"/>
          <w:lang w:val="en-US"/>
        </w:rPr>
        <w:t>den</w:t>
      </w:r>
      <w:r w:rsidRPr="007074A2">
        <w:rPr>
          <w:sz w:val="18"/>
          <w:szCs w:val="18"/>
          <w:lang w:val="en-US"/>
        </w:rPr>
        <w:t xml:space="preserve"> L J</w:t>
      </w:r>
      <w:r>
        <w:rPr>
          <w:sz w:val="18"/>
          <w:szCs w:val="18"/>
          <w:lang w:val="en-US"/>
        </w:rPr>
        <w:t xml:space="preserve"> 219 ff.</w:t>
      </w:r>
    </w:p>
  </w:footnote>
  <w:footnote w:id="77">
    <w:p w14:paraId="51C70B94" w14:textId="3BCCC585" w:rsidR="00467B24" w:rsidRPr="00F10894" w:rsidRDefault="00467B24" w:rsidP="00F10894">
      <w:pPr>
        <w:pStyle w:val="Testonotaapidipagina"/>
        <w:spacing w:line="276" w:lineRule="auto"/>
        <w:jc w:val="both"/>
        <w:rPr>
          <w:sz w:val="18"/>
          <w:szCs w:val="18"/>
          <w:lang w:val="en-US"/>
        </w:rPr>
      </w:pPr>
      <w:r w:rsidRPr="00F10894">
        <w:rPr>
          <w:rStyle w:val="Rimandonotaapidipagina"/>
          <w:sz w:val="18"/>
          <w:szCs w:val="18"/>
        </w:rPr>
        <w:footnoteRef/>
      </w:r>
      <w:r w:rsidRPr="00F10894">
        <w:rPr>
          <w:sz w:val="18"/>
          <w:szCs w:val="18"/>
          <w:lang w:val="en-US"/>
        </w:rPr>
        <w:t xml:space="preserve"> </w:t>
      </w:r>
      <w:r>
        <w:rPr>
          <w:sz w:val="18"/>
          <w:szCs w:val="18"/>
          <w:lang w:val="en-US"/>
        </w:rPr>
        <w:t>Paula Helm,</w:t>
      </w:r>
      <w:r w:rsidRPr="00F10894">
        <w:rPr>
          <w:sz w:val="18"/>
          <w:szCs w:val="18"/>
          <w:lang w:val="en-US"/>
        </w:rPr>
        <w:t xml:space="preserve"> </w:t>
      </w:r>
      <w:r>
        <w:rPr>
          <w:sz w:val="18"/>
          <w:szCs w:val="18"/>
          <w:lang w:val="en-US"/>
        </w:rPr>
        <w:t>‘</w:t>
      </w:r>
      <w:r w:rsidRPr="007074A2">
        <w:rPr>
          <w:sz w:val="18"/>
          <w:szCs w:val="18"/>
          <w:lang w:val="en-US"/>
        </w:rPr>
        <w:t>Group Privacy in Times of Big Data. A Literature Review</w:t>
      </w:r>
      <w:r>
        <w:rPr>
          <w:sz w:val="18"/>
          <w:szCs w:val="18"/>
          <w:lang w:val="en-US"/>
        </w:rPr>
        <w:t>’</w:t>
      </w:r>
      <w:r w:rsidRPr="007074A2">
        <w:rPr>
          <w:sz w:val="18"/>
          <w:szCs w:val="18"/>
          <w:lang w:val="en-US"/>
        </w:rPr>
        <w:t xml:space="preserve"> </w:t>
      </w:r>
      <w:r>
        <w:rPr>
          <w:sz w:val="18"/>
          <w:szCs w:val="18"/>
          <w:lang w:val="en-US"/>
        </w:rPr>
        <w:t xml:space="preserve">(2016) 2(2) </w:t>
      </w:r>
      <w:r w:rsidRPr="007074A2">
        <w:rPr>
          <w:sz w:val="18"/>
          <w:szCs w:val="18"/>
          <w:lang w:val="en-US"/>
        </w:rPr>
        <w:t>Digital Culture and Society</w:t>
      </w:r>
      <w:r>
        <w:rPr>
          <w:sz w:val="18"/>
          <w:szCs w:val="18"/>
          <w:lang w:val="en-US"/>
        </w:rPr>
        <w:t xml:space="preserve"> 144.</w:t>
      </w:r>
    </w:p>
  </w:footnote>
  <w:footnote w:id="78">
    <w:p w14:paraId="322E7D90" w14:textId="77777777" w:rsidR="00467B24" w:rsidRPr="00F10894" w:rsidRDefault="00467B24" w:rsidP="000A1EF0">
      <w:pPr>
        <w:pStyle w:val="Testonotaapidipagina"/>
        <w:spacing w:line="276" w:lineRule="auto"/>
        <w:jc w:val="both"/>
        <w:rPr>
          <w:sz w:val="18"/>
          <w:szCs w:val="18"/>
          <w:lang w:val="en-US"/>
        </w:rPr>
      </w:pPr>
      <w:r w:rsidRPr="00F10894">
        <w:rPr>
          <w:rStyle w:val="Rimandonotaapidipagina"/>
          <w:sz w:val="18"/>
          <w:szCs w:val="18"/>
        </w:rPr>
        <w:footnoteRef/>
      </w:r>
      <w:r w:rsidRPr="009331AF">
        <w:rPr>
          <w:sz w:val="18"/>
          <w:szCs w:val="18"/>
          <w:lang w:val="en-US"/>
        </w:rPr>
        <w:t xml:space="preserve"> Case C-319/20</w:t>
      </w:r>
      <w:r>
        <w:rPr>
          <w:sz w:val="18"/>
          <w:szCs w:val="18"/>
          <w:lang w:val="en-US"/>
        </w:rPr>
        <w:t xml:space="preserve"> </w:t>
      </w:r>
      <w:r w:rsidRPr="009331AF">
        <w:rPr>
          <w:i/>
          <w:sz w:val="18"/>
          <w:szCs w:val="18"/>
          <w:lang w:val="en-US"/>
        </w:rPr>
        <w:t>Meta Platforms</w:t>
      </w:r>
      <w:r>
        <w:rPr>
          <w:i/>
          <w:sz w:val="18"/>
          <w:szCs w:val="18"/>
          <w:lang w:val="en-US"/>
        </w:rPr>
        <w:t xml:space="preserve"> </w:t>
      </w:r>
      <w:r>
        <w:rPr>
          <w:sz w:val="18"/>
          <w:szCs w:val="18"/>
          <w:lang w:val="en-US"/>
        </w:rPr>
        <w:t>[2022]</w:t>
      </w:r>
      <w:r w:rsidRPr="009331AF">
        <w:rPr>
          <w:i/>
          <w:sz w:val="18"/>
          <w:szCs w:val="18"/>
          <w:lang w:val="en-US"/>
        </w:rPr>
        <w:t xml:space="preserve">, </w:t>
      </w:r>
      <w:r w:rsidRPr="009331AF">
        <w:rPr>
          <w:sz w:val="18"/>
          <w:szCs w:val="18"/>
          <w:lang w:val="en-US"/>
        </w:rPr>
        <w:t>pa</w:t>
      </w:r>
      <w:r>
        <w:rPr>
          <w:sz w:val="18"/>
          <w:szCs w:val="18"/>
          <w:lang w:val="en-US"/>
        </w:rPr>
        <w:t>ra</w:t>
      </w:r>
      <w:r w:rsidRPr="00F10894">
        <w:rPr>
          <w:sz w:val="18"/>
          <w:szCs w:val="18"/>
          <w:lang w:val="en-US"/>
        </w:rPr>
        <w:t xml:space="preserve"> 81.</w:t>
      </w:r>
    </w:p>
  </w:footnote>
  <w:footnote w:id="79">
    <w:p w14:paraId="30BBE50C" w14:textId="028B309E" w:rsidR="00467B24" w:rsidRPr="009331AF" w:rsidRDefault="00467B24" w:rsidP="00F10894">
      <w:pPr>
        <w:pStyle w:val="Testonotaapidipagina"/>
        <w:spacing w:line="276" w:lineRule="auto"/>
        <w:jc w:val="both"/>
        <w:rPr>
          <w:sz w:val="18"/>
          <w:szCs w:val="18"/>
          <w:lang w:val="en-US"/>
        </w:rPr>
      </w:pPr>
      <w:r w:rsidRPr="00F10894">
        <w:rPr>
          <w:rStyle w:val="Rimandonotaapidipagina"/>
          <w:sz w:val="18"/>
          <w:szCs w:val="18"/>
        </w:rPr>
        <w:footnoteRef/>
      </w:r>
      <w:r w:rsidRPr="009331AF">
        <w:rPr>
          <w:sz w:val="18"/>
          <w:szCs w:val="18"/>
          <w:lang w:val="en-US"/>
        </w:rPr>
        <w:t xml:space="preserve"> Case C-319/20</w:t>
      </w:r>
      <w:r>
        <w:rPr>
          <w:sz w:val="18"/>
          <w:szCs w:val="18"/>
          <w:lang w:val="en-US"/>
        </w:rPr>
        <w:t xml:space="preserve"> </w:t>
      </w:r>
      <w:r w:rsidRPr="009331AF">
        <w:rPr>
          <w:i/>
          <w:sz w:val="18"/>
          <w:szCs w:val="18"/>
          <w:lang w:val="en-US"/>
        </w:rPr>
        <w:t>Meta Platforms</w:t>
      </w:r>
      <w:r>
        <w:rPr>
          <w:i/>
          <w:sz w:val="18"/>
          <w:szCs w:val="18"/>
          <w:lang w:val="en-US"/>
        </w:rPr>
        <w:t xml:space="preserve"> </w:t>
      </w:r>
      <w:r>
        <w:rPr>
          <w:sz w:val="18"/>
          <w:szCs w:val="18"/>
          <w:lang w:val="en-US"/>
        </w:rPr>
        <w:t>[2022], para</w:t>
      </w:r>
      <w:r w:rsidRPr="009331AF">
        <w:rPr>
          <w:sz w:val="18"/>
          <w:szCs w:val="18"/>
          <w:lang w:val="en-US"/>
        </w:rPr>
        <w:t xml:space="preserve"> 65.</w:t>
      </w:r>
    </w:p>
  </w:footnote>
  <w:footnote w:id="80">
    <w:p w14:paraId="006794B5" w14:textId="448C0859" w:rsidR="00467B24" w:rsidRPr="009331AF" w:rsidRDefault="00467B24" w:rsidP="00F10894">
      <w:pPr>
        <w:pStyle w:val="Testonotaapidipagina"/>
        <w:spacing w:line="276" w:lineRule="auto"/>
        <w:jc w:val="both"/>
        <w:rPr>
          <w:sz w:val="18"/>
          <w:szCs w:val="18"/>
          <w:lang w:val="en-US"/>
        </w:rPr>
      </w:pPr>
      <w:r w:rsidRPr="00F10894">
        <w:rPr>
          <w:rStyle w:val="Rimandonotaapidipagina"/>
          <w:sz w:val="18"/>
          <w:szCs w:val="18"/>
        </w:rPr>
        <w:footnoteRef/>
      </w:r>
      <w:r>
        <w:rPr>
          <w:sz w:val="18"/>
          <w:szCs w:val="18"/>
          <w:lang w:val="en-US"/>
        </w:rPr>
        <w:t xml:space="preserve"> Art 80, para</w:t>
      </w:r>
      <w:r w:rsidRPr="009331AF">
        <w:rPr>
          <w:sz w:val="18"/>
          <w:szCs w:val="18"/>
          <w:lang w:val="en-US"/>
        </w:rPr>
        <w:t xml:space="preserve"> 1, GDPR.</w:t>
      </w:r>
    </w:p>
  </w:footnote>
  <w:footnote w:id="81">
    <w:p w14:paraId="2BF4E5F2" w14:textId="026E4321" w:rsidR="00467B24" w:rsidRPr="00F10894" w:rsidRDefault="00467B24" w:rsidP="00F10894">
      <w:pPr>
        <w:pStyle w:val="Testonotaapidipagina"/>
        <w:spacing w:line="276" w:lineRule="auto"/>
        <w:jc w:val="both"/>
        <w:rPr>
          <w:sz w:val="18"/>
          <w:szCs w:val="18"/>
          <w:lang w:val="en-US"/>
        </w:rPr>
      </w:pPr>
      <w:r w:rsidRPr="005E4C7D">
        <w:rPr>
          <w:rStyle w:val="Rimandonotaapidipagina"/>
          <w:sz w:val="18"/>
          <w:szCs w:val="18"/>
        </w:rPr>
        <w:footnoteRef/>
      </w:r>
      <w:r w:rsidRPr="005E4C7D">
        <w:rPr>
          <w:sz w:val="18"/>
          <w:szCs w:val="18"/>
          <w:lang w:val="en-US"/>
        </w:rPr>
        <w:t xml:space="preserve"> See Peter Rott, ‘Data protection law as consumer law. </w:t>
      </w:r>
      <w:r w:rsidRPr="005E4C7D">
        <w:rPr>
          <w:color w:val="000000" w:themeColor="text1"/>
          <w:sz w:val="18"/>
          <w:szCs w:val="18"/>
          <w:lang w:val="en-US"/>
        </w:rPr>
        <w:t>How consumer organisations can contribute to the enforcement of data protection law</w:t>
      </w:r>
      <w:r w:rsidRPr="005E4C7D">
        <w:rPr>
          <w:sz w:val="18"/>
          <w:szCs w:val="18"/>
          <w:lang w:val="en-US"/>
        </w:rPr>
        <w:t>’</w:t>
      </w:r>
      <w:r w:rsidRPr="005E4C7D">
        <w:rPr>
          <w:i/>
          <w:sz w:val="18"/>
          <w:szCs w:val="18"/>
          <w:lang w:val="en-US"/>
        </w:rPr>
        <w:t xml:space="preserve"> </w:t>
      </w:r>
      <w:r w:rsidRPr="005E4C7D">
        <w:rPr>
          <w:sz w:val="18"/>
          <w:szCs w:val="18"/>
          <w:lang w:val="en-US"/>
        </w:rPr>
        <w:t>(2017) 3(6) J Eur Consumer &amp; Market L 115</w:t>
      </w:r>
      <w:r>
        <w:rPr>
          <w:sz w:val="18"/>
          <w:szCs w:val="18"/>
          <w:lang w:val="en-US"/>
        </w:rPr>
        <w:t xml:space="preserve"> ff.</w:t>
      </w:r>
    </w:p>
  </w:footnote>
  <w:footnote w:id="82">
    <w:p w14:paraId="1F2B34EA" w14:textId="2505222B" w:rsidR="00467B24" w:rsidRPr="006701F6" w:rsidRDefault="00467B24" w:rsidP="009D04CA">
      <w:pPr>
        <w:pStyle w:val="Testonotaapidipagina"/>
        <w:spacing w:line="276" w:lineRule="auto"/>
        <w:jc w:val="both"/>
        <w:rPr>
          <w:sz w:val="18"/>
          <w:szCs w:val="18"/>
        </w:rPr>
      </w:pPr>
      <w:r w:rsidRPr="00313322">
        <w:rPr>
          <w:rStyle w:val="Rimandonotaapidipagina"/>
          <w:sz w:val="18"/>
          <w:szCs w:val="18"/>
        </w:rPr>
        <w:footnoteRef/>
      </w:r>
      <w:r>
        <w:rPr>
          <w:sz w:val="18"/>
          <w:szCs w:val="18"/>
          <w:lang w:val="en-US"/>
        </w:rPr>
        <w:t xml:space="preserve"> Fernando Gascon Inchausti</w:t>
      </w:r>
      <w:r w:rsidRPr="006701F6">
        <w:rPr>
          <w:sz w:val="18"/>
          <w:szCs w:val="18"/>
          <w:lang w:val="en-US"/>
        </w:rPr>
        <w:t xml:space="preserve">, </w:t>
      </w:r>
      <w:r>
        <w:rPr>
          <w:sz w:val="18"/>
          <w:szCs w:val="18"/>
          <w:lang w:val="en-US"/>
        </w:rPr>
        <w:t>‘</w:t>
      </w:r>
      <w:r w:rsidRPr="005E4C7D">
        <w:rPr>
          <w:sz w:val="18"/>
          <w:szCs w:val="18"/>
          <w:lang w:val="en-US"/>
        </w:rPr>
        <w:t>A new European way to collective redress? Representative actions under Directive 2020/1828 of 25 November</w:t>
      </w:r>
      <w:r>
        <w:rPr>
          <w:sz w:val="18"/>
          <w:szCs w:val="18"/>
          <w:lang w:val="en-US"/>
        </w:rPr>
        <w:t xml:space="preserve">’ (2021) </w:t>
      </w:r>
      <w:r w:rsidRPr="006A37AB">
        <w:rPr>
          <w:i/>
          <w:sz w:val="18"/>
          <w:szCs w:val="18"/>
          <w:lang w:val="en-US"/>
        </w:rPr>
        <w:t>Zeitschrift für das Privatrecht der Europäischen Union</w:t>
      </w:r>
      <w:r>
        <w:rPr>
          <w:i/>
          <w:sz w:val="18"/>
          <w:szCs w:val="18"/>
          <w:lang w:val="en-US"/>
        </w:rPr>
        <w:t xml:space="preserve"> </w:t>
      </w:r>
      <w:r>
        <w:rPr>
          <w:sz w:val="18"/>
          <w:szCs w:val="18"/>
          <w:lang w:val="en-US"/>
        </w:rPr>
        <w:t xml:space="preserve">66. </w:t>
      </w:r>
      <w:r>
        <w:rPr>
          <w:sz w:val="18"/>
          <w:szCs w:val="18"/>
        </w:rPr>
        <w:t>Cf</w:t>
      </w:r>
      <w:r w:rsidRPr="008A78F6">
        <w:rPr>
          <w:sz w:val="18"/>
          <w:szCs w:val="18"/>
        </w:rPr>
        <w:t xml:space="preserve"> Giovanni De Cristofaro, ‘Azioni “rappresentative” e tutela degli interessi collettivi dei consumatori. </w:t>
      </w:r>
      <w:r w:rsidRPr="005E4C7D">
        <w:rPr>
          <w:sz w:val="18"/>
          <w:szCs w:val="18"/>
        </w:rPr>
        <w:t xml:space="preserve">La “lunga marcia” che ha condotto all’approvazione della dir. 2020/1828/UE e i profili problematici del suo recepimento nel diritto italiano’ </w:t>
      </w:r>
      <w:r>
        <w:rPr>
          <w:sz w:val="18"/>
          <w:szCs w:val="18"/>
        </w:rPr>
        <w:t xml:space="preserve">(2022) 45(4) </w:t>
      </w:r>
      <w:r w:rsidRPr="005E4C7D">
        <w:rPr>
          <w:sz w:val="18"/>
          <w:szCs w:val="18"/>
        </w:rPr>
        <w:t xml:space="preserve">Nuove Leggi Civili Commentate </w:t>
      </w:r>
      <w:r w:rsidRPr="006701F6">
        <w:rPr>
          <w:sz w:val="18"/>
          <w:szCs w:val="18"/>
        </w:rPr>
        <w:t>1022.</w:t>
      </w:r>
    </w:p>
  </w:footnote>
  <w:footnote w:id="83">
    <w:p w14:paraId="773032CB" w14:textId="6D1C71E9" w:rsidR="00467B24" w:rsidRPr="006C03AC" w:rsidRDefault="00467B24" w:rsidP="00F10894">
      <w:pPr>
        <w:pStyle w:val="Testonotaapidipagina"/>
        <w:spacing w:line="276" w:lineRule="auto"/>
        <w:jc w:val="both"/>
        <w:rPr>
          <w:sz w:val="18"/>
          <w:szCs w:val="18"/>
        </w:rPr>
      </w:pPr>
      <w:r w:rsidRPr="00F10894">
        <w:rPr>
          <w:rStyle w:val="Rimandonotaapidipagina"/>
          <w:sz w:val="18"/>
          <w:szCs w:val="18"/>
        </w:rPr>
        <w:footnoteRef/>
      </w:r>
      <w:r w:rsidRPr="009D04CA">
        <w:rPr>
          <w:sz w:val="18"/>
          <w:szCs w:val="18"/>
        </w:rPr>
        <w:t xml:space="preserve"> See Alexia Pato, ‘The collective private enforcement of data protection rights in the EU’ (2019) </w:t>
      </w:r>
      <w:r w:rsidRPr="009D04CA">
        <w:rPr>
          <w:iCs/>
          <w:sz w:val="18"/>
          <w:szCs w:val="18"/>
        </w:rPr>
        <w:t>MPI-IAPL Summer School 3rd ed, Forthcoming</w:t>
      </w:r>
      <w:r w:rsidRPr="009D04CA">
        <w:rPr>
          <w:sz w:val="18"/>
          <w:szCs w:val="18"/>
        </w:rPr>
        <w:t xml:space="preserve">, 2 ff; Alexia Pato, ‘The National Adaptation of Article 80 GDPR, Towards the Effective Private Enforcement of Collective Data Protection Rights’ in Karen McCullagh, Olivia Tambou and Sam Bourton (eds), </w:t>
      </w:r>
      <w:r w:rsidRPr="009D04CA">
        <w:rPr>
          <w:i/>
          <w:sz w:val="18"/>
          <w:szCs w:val="18"/>
        </w:rPr>
        <w:t xml:space="preserve">National Adaptations of the GDPR </w:t>
      </w:r>
      <w:r w:rsidRPr="009D04CA">
        <w:rPr>
          <w:sz w:val="18"/>
          <w:szCs w:val="18"/>
        </w:rPr>
        <w:t xml:space="preserve">(Series Open Access Book, Blogdroiteuropéen, 2018) 99; Federica Casarosa, ‘Azioni collettive fra tutela dei dati personali e tutela dei consumatori: nuovi strumenti alla prova dei fatti’ in Paola Iamiceli (ed), </w:t>
      </w:r>
      <w:r w:rsidRPr="009D04CA">
        <w:rPr>
          <w:i/>
          <w:sz w:val="18"/>
          <w:szCs w:val="18"/>
        </w:rPr>
        <w:t xml:space="preserve">Effettività delle tutele e diritto europeo. </w:t>
      </w:r>
      <w:r w:rsidRPr="006C03AC">
        <w:rPr>
          <w:i/>
          <w:sz w:val="18"/>
          <w:szCs w:val="18"/>
        </w:rPr>
        <w:t>Un percorso di ricerca per e con la formazione giudiziaria</w:t>
      </w:r>
      <w:r w:rsidRPr="006C03AC">
        <w:rPr>
          <w:sz w:val="18"/>
          <w:szCs w:val="18"/>
        </w:rPr>
        <w:t xml:space="preserve"> (Open Access – Università degli Studi Trento 2020) 439; Federica Casarosa, ‘Transnational collective actions for cross-border data protection violations’ (2020) </w:t>
      </w:r>
      <w:r>
        <w:rPr>
          <w:sz w:val="18"/>
          <w:szCs w:val="18"/>
        </w:rPr>
        <w:t xml:space="preserve">9(3) </w:t>
      </w:r>
      <w:r w:rsidRPr="006C03AC">
        <w:rPr>
          <w:sz w:val="18"/>
          <w:szCs w:val="18"/>
        </w:rPr>
        <w:t>Internet Policy Rev 5ff.</w:t>
      </w:r>
    </w:p>
  </w:footnote>
  <w:footnote w:id="84">
    <w:p w14:paraId="4E86CCE1" w14:textId="4501D789" w:rsidR="00467B24" w:rsidRPr="004F5160" w:rsidRDefault="00467B24" w:rsidP="00F10894">
      <w:pPr>
        <w:pStyle w:val="Testonotaapidipagina"/>
        <w:spacing w:line="276" w:lineRule="auto"/>
        <w:jc w:val="both"/>
        <w:rPr>
          <w:sz w:val="18"/>
          <w:szCs w:val="18"/>
          <w:lang w:val="en-US"/>
        </w:rPr>
      </w:pPr>
      <w:r w:rsidRPr="00F10894">
        <w:rPr>
          <w:rStyle w:val="Rimandonotaapidipagina"/>
          <w:sz w:val="18"/>
          <w:szCs w:val="18"/>
        </w:rPr>
        <w:footnoteRef/>
      </w:r>
      <w:r w:rsidRPr="00F10894">
        <w:rPr>
          <w:sz w:val="18"/>
          <w:szCs w:val="18"/>
          <w:lang w:val="en-US"/>
        </w:rPr>
        <w:t xml:space="preserve"> Case C-319/20</w:t>
      </w:r>
      <w:r>
        <w:rPr>
          <w:sz w:val="18"/>
          <w:szCs w:val="18"/>
          <w:lang w:val="en-US"/>
        </w:rPr>
        <w:t xml:space="preserve"> </w:t>
      </w:r>
      <w:r w:rsidRPr="00F10894">
        <w:rPr>
          <w:i/>
          <w:sz w:val="18"/>
          <w:szCs w:val="18"/>
          <w:lang w:val="en-US"/>
        </w:rPr>
        <w:t>Meta Platforms</w:t>
      </w:r>
      <w:r>
        <w:rPr>
          <w:i/>
          <w:sz w:val="18"/>
          <w:szCs w:val="18"/>
          <w:lang w:val="en-US"/>
        </w:rPr>
        <w:t xml:space="preserve"> </w:t>
      </w:r>
      <w:r>
        <w:rPr>
          <w:sz w:val="18"/>
          <w:szCs w:val="18"/>
          <w:lang w:val="en-US"/>
        </w:rPr>
        <w:t xml:space="preserve">[2022], para </w:t>
      </w:r>
      <w:r w:rsidRPr="004F5160">
        <w:rPr>
          <w:sz w:val="18"/>
          <w:szCs w:val="18"/>
          <w:lang w:val="en-US"/>
        </w:rPr>
        <w:t>57.</w:t>
      </w:r>
    </w:p>
  </w:footnote>
  <w:footnote w:id="85">
    <w:p w14:paraId="45FE5FAE" w14:textId="2A57A359" w:rsidR="00467B24" w:rsidRPr="00C21404" w:rsidRDefault="00467B24" w:rsidP="00F10894">
      <w:pPr>
        <w:pStyle w:val="Testonotaapidipagina"/>
        <w:spacing w:line="276" w:lineRule="auto"/>
        <w:jc w:val="both"/>
        <w:rPr>
          <w:sz w:val="18"/>
          <w:szCs w:val="18"/>
          <w:lang w:val="en-US"/>
        </w:rPr>
      </w:pPr>
      <w:r w:rsidRPr="00F10894">
        <w:rPr>
          <w:rStyle w:val="Rimandonotaapidipagina"/>
          <w:sz w:val="18"/>
          <w:szCs w:val="18"/>
        </w:rPr>
        <w:footnoteRef/>
      </w:r>
      <w:r w:rsidRPr="00C21404">
        <w:rPr>
          <w:sz w:val="18"/>
          <w:szCs w:val="18"/>
          <w:lang w:val="en-US"/>
        </w:rPr>
        <w:t xml:space="preserve"> Case C-319/20</w:t>
      </w:r>
      <w:r>
        <w:rPr>
          <w:sz w:val="18"/>
          <w:szCs w:val="18"/>
          <w:lang w:val="en-US"/>
        </w:rPr>
        <w:t xml:space="preserve"> </w:t>
      </w:r>
      <w:r w:rsidRPr="00C21404">
        <w:rPr>
          <w:i/>
          <w:sz w:val="18"/>
          <w:szCs w:val="18"/>
          <w:lang w:val="en-US"/>
        </w:rPr>
        <w:t>Meta Platforms</w:t>
      </w:r>
      <w:r>
        <w:rPr>
          <w:i/>
          <w:sz w:val="18"/>
          <w:szCs w:val="18"/>
          <w:lang w:val="en-US"/>
        </w:rPr>
        <w:t xml:space="preserve"> </w:t>
      </w:r>
      <w:r>
        <w:rPr>
          <w:sz w:val="18"/>
          <w:szCs w:val="18"/>
          <w:lang w:val="en-US"/>
        </w:rPr>
        <w:t>[2022]</w:t>
      </w:r>
      <w:r w:rsidRPr="00C21404">
        <w:rPr>
          <w:i/>
          <w:sz w:val="18"/>
          <w:szCs w:val="18"/>
          <w:lang w:val="en-US"/>
        </w:rPr>
        <w:t xml:space="preserve">, </w:t>
      </w:r>
      <w:r>
        <w:rPr>
          <w:sz w:val="18"/>
          <w:szCs w:val="18"/>
          <w:lang w:val="en-US"/>
        </w:rPr>
        <w:t>paras</w:t>
      </w:r>
      <w:r w:rsidRPr="00C21404">
        <w:rPr>
          <w:sz w:val="18"/>
          <w:szCs w:val="18"/>
          <w:lang w:val="en-US"/>
        </w:rPr>
        <w:t xml:space="preserve"> 73-75.</w:t>
      </w:r>
    </w:p>
  </w:footnote>
  <w:footnote w:id="86">
    <w:p w14:paraId="6485FC0B" w14:textId="77777777" w:rsidR="00467B24" w:rsidRPr="00086827" w:rsidRDefault="00467B24" w:rsidP="008D22AC">
      <w:pPr>
        <w:pStyle w:val="Testonotaapidipagina"/>
        <w:spacing w:line="276" w:lineRule="auto"/>
        <w:jc w:val="both"/>
        <w:rPr>
          <w:sz w:val="18"/>
          <w:szCs w:val="18"/>
        </w:rPr>
      </w:pPr>
      <w:r w:rsidRPr="00086827">
        <w:rPr>
          <w:rStyle w:val="Rimandonotaapidipagina"/>
          <w:sz w:val="18"/>
          <w:szCs w:val="18"/>
        </w:rPr>
        <w:footnoteRef/>
      </w:r>
      <w:r w:rsidRPr="00086827">
        <w:rPr>
          <w:sz w:val="18"/>
          <w:szCs w:val="18"/>
        </w:rPr>
        <w:t xml:space="preserve"> </w:t>
      </w:r>
      <w:r>
        <w:rPr>
          <w:sz w:val="18"/>
          <w:szCs w:val="18"/>
        </w:rPr>
        <w:t>Vincenzo Zeno-Zencovich</w:t>
      </w:r>
      <w:r w:rsidRPr="00086827">
        <w:rPr>
          <w:sz w:val="18"/>
          <w:szCs w:val="18"/>
        </w:rPr>
        <w:t xml:space="preserve"> </w:t>
      </w:r>
      <w:r>
        <w:rPr>
          <w:sz w:val="18"/>
          <w:szCs w:val="18"/>
        </w:rPr>
        <w:t xml:space="preserve">and Maria Cecilia </w:t>
      </w:r>
      <w:r w:rsidRPr="00086827">
        <w:rPr>
          <w:sz w:val="18"/>
          <w:szCs w:val="18"/>
        </w:rPr>
        <w:t xml:space="preserve">Paglietti </w:t>
      </w:r>
      <w:r>
        <w:rPr>
          <w:sz w:val="18"/>
          <w:szCs w:val="18"/>
        </w:rPr>
        <w:t>(n. 49), 51.</w:t>
      </w:r>
    </w:p>
  </w:footnote>
  <w:footnote w:id="87">
    <w:p w14:paraId="7262FDA5" w14:textId="1F725F2A" w:rsidR="00467B24" w:rsidRPr="008A086B" w:rsidRDefault="00467B24" w:rsidP="008A086B">
      <w:pPr>
        <w:pStyle w:val="Testonotaapidipagina"/>
        <w:spacing w:line="276" w:lineRule="auto"/>
        <w:jc w:val="both"/>
        <w:rPr>
          <w:sz w:val="18"/>
          <w:szCs w:val="18"/>
          <w:lang w:val="en-US"/>
        </w:rPr>
      </w:pPr>
      <w:r w:rsidRPr="008A086B">
        <w:rPr>
          <w:rStyle w:val="Rimandonotaapidipagina"/>
          <w:sz w:val="18"/>
          <w:szCs w:val="18"/>
        </w:rPr>
        <w:footnoteRef/>
      </w:r>
      <w:r w:rsidRPr="008A086B">
        <w:rPr>
          <w:sz w:val="18"/>
          <w:szCs w:val="18"/>
          <w:lang w:val="en-US"/>
        </w:rPr>
        <w:t xml:space="preserve"> </w:t>
      </w:r>
      <w:r>
        <w:rPr>
          <w:sz w:val="18"/>
          <w:szCs w:val="18"/>
          <w:lang w:val="en-US"/>
        </w:rPr>
        <w:t>See again c</w:t>
      </w:r>
      <w:r w:rsidRPr="00F10894">
        <w:rPr>
          <w:sz w:val="18"/>
          <w:szCs w:val="18"/>
          <w:lang w:val="en-US"/>
        </w:rPr>
        <w:t>ase C-319/20</w:t>
      </w:r>
      <w:r>
        <w:rPr>
          <w:sz w:val="18"/>
          <w:szCs w:val="18"/>
          <w:lang w:val="en-US"/>
        </w:rPr>
        <w:t xml:space="preserve"> </w:t>
      </w:r>
      <w:r>
        <w:rPr>
          <w:i/>
          <w:sz w:val="18"/>
          <w:szCs w:val="18"/>
          <w:lang w:val="en-US"/>
        </w:rPr>
        <w:t xml:space="preserve">Meta Platforms </w:t>
      </w:r>
      <w:r>
        <w:rPr>
          <w:sz w:val="18"/>
          <w:szCs w:val="18"/>
          <w:lang w:val="en-US"/>
        </w:rPr>
        <w:t>[2022]</w:t>
      </w:r>
      <w:r>
        <w:rPr>
          <w:i/>
          <w:sz w:val="18"/>
          <w:szCs w:val="18"/>
          <w:lang w:val="en-US"/>
        </w:rPr>
        <w:t xml:space="preserve">, </w:t>
      </w:r>
      <w:r>
        <w:rPr>
          <w:sz w:val="18"/>
          <w:szCs w:val="18"/>
          <w:lang w:val="en-US"/>
        </w:rPr>
        <w:t>paras</w:t>
      </w:r>
      <w:r w:rsidRPr="00F10894">
        <w:rPr>
          <w:sz w:val="18"/>
          <w:szCs w:val="18"/>
          <w:lang w:val="en-US"/>
        </w:rPr>
        <w:t xml:space="preserve"> 60-66.</w:t>
      </w:r>
    </w:p>
  </w:footnote>
  <w:footnote w:id="88">
    <w:p w14:paraId="23756E5A" w14:textId="49B36880" w:rsidR="00467B24" w:rsidRPr="00F10894" w:rsidRDefault="00467B24" w:rsidP="008A086B">
      <w:pPr>
        <w:pStyle w:val="Testonotaapidipagina"/>
        <w:spacing w:line="276" w:lineRule="auto"/>
        <w:jc w:val="both"/>
        <w:rPr>
          <w:sz w:val="18"/>
          <w:szCs w:val="18"/>
          <w:lang w:val="en-US"/>
        </w:rPr>
      </w:pPr>
      <w:r w:rsidRPr="00F10894">
        <w:rPr>
          <w:rStyle w:val="Rimandonotaapidipagina"/>
          <w:sz w:val="18"/>
          <w:szCs w:val="18"/>
        </w:rPr>
        <w:footnoteRef/>
      </w:r>
      <w:r w:rsidRPr="00F10894">
        <w:rPr>
          <w:sz w:val="18"/>
          <w:szCs w:val="18"/>
          <w:lang w:val="en-US"/>
        </w:rPr>
        <w:t xml:space="preserve"> </w:t>
      </w:r>
      <w:r>
        <w:rPr>
          <w:sz w:val="18"/>
          <w:szCs w:val="18"/>
          <w:lang w:val="en-US"/>
        </w:rPr>
        <w:t>Cristopher Hodges,</w:t>
      </w:r>
      <w:r w:rsidRPr="00F10894">
        <w:rPr>
          <w:sz w:val="18"/>
          <w:szCs w:val="18"/>
          <w:lang w:val="en-US"/>
        </w:rPr>
        <w:t xml:space="preserve"> </w:t>
      </w:r>
      <w:r w:rsidRPr="008E58DD">
        <w:rPr>
          <w:sz w:val="18"/>
          <w:szCs w:val="18"/>
          <w:lang w:val="en-US"/>
        </w:rPr>
        <w:t xml:space="preserve">‘Collective Redress: The Need for New Technologies’ </w:t>
      </w:r>
      <w:r>
        <w:rPr>
          <w:sz w:val="18"/>
          <w:szCs w:val="18"/>
          <w:lang w:val="en-US"/>
        </w:rPr>
        <w:t xml:space="preserve">(2019) 42 </w:t>
      </w:r>
      <w:r w:rsidRPr="008E58DD">
        <w:rPr>
          <w:sz w:val="18"/>
          <w:szCs w:val="18"/>
          <w:lang w:val="en-US"/>
        </w:rPr>
        <w:t>J of Consumer Policy</w:t>
      </w:r>
      <w:r>
        <w:rPr>
          <w:sz w:val="18"/>
          <w:szCs w:val="18"/>
          <w:lang w:val="en-US"/>
        </w:rPr>
        <w:t xml:space="preserve"> </w:t>
      </w:r>
      <w:r w:rsidRPr="00F10894">
        <w:rPr>
          <w:sz w:val="18"/>
          <w:szCs w:val="18"/>
          <w:lang w:val="en-US"/>
        </w:rPr>
        <w:t>60-61.</w:t>
      </w:r>
    </w:p>
  </w:footnote>
  <w:footnote w:id="89">
    <w:p w14:paraId="6CF3F52A" w14:textId="65AFB711" w:rsidR="00467B24" w:rsidRPr="00917CC8" w:rsidRDefault="00467B24" w:rsidP="008A086B">
      <w:pPr>
        <w:pStyle w:val="Testonotaapidipagina"/>
        <w:spacing w:line="276" w:lineRule="auto"/>
        <w:jc w:val="both"/>
        <w:rPr>
          <w:sz w:val="18"/>
          <w:lang w:val="en-US"/>
        </w:rPr>
      </w:pPr>
      <w:r w:rsidRPr="00917CC8">
        <w:rPr>
          <w:rStyle w:val="Rimandonotaapidipagina"/>
          <w:sz w:val="18"/>
          <w:szCs w:val="18"/>
        </w:rPr>
        <w:footnoteRef/>
      </w:r>
      <w:r w:rsidRPr="00917CC8">
        <w:rPr>
          <w:sz w:val="18"/>
          <w:szCs w:val="18"/>
          <w:lang w:val="en-US"/>
        </w:rPr>
        <w:t xml:space="preserve"> </w:t>
      </w:r>
      <w:r>
        <w:rPr>
          <w:sz w:val="18"/>
          <w:szCs w:val="18"/>
          <w:lang w:val="en-US"/>
        </w:rPr>
        <w:t>Regarding public governance, see Miroslava Scholten, ‘</w:t>
      </w:r>
      <w:r w:rsidRPr="008E58DD">
        <w:rPr>
          <w:sz w:val="18"/>
          <w:lang w:val="en-US"/>
        </w:rPr>
        <w:t>Shared Tasks, but Separated Controls: Building the System of Control for Shared Administration in an EU Multi-Jurisdictional Setting</w:t>
      </w:r>
      <w:r>
        <w:rPr>
          <w:sz w:val="18"/>
          <w:lang w:val="en-US"/>
        </w:rPr>
        <w:t>’</w:t>
      </w:r>
      <w:r w:rsidRPr="00917CC8">
        <w:rPr>
          <w:sz w:val="18"/>
          <w:lang w:val="en-US"/>
        </w:rPr>
        <w:t xml:space="preserve"> </w:t>
      </w:r>
      <w:r>
        <w:rPr>
          <w:sz w:val="18"/>
          <w:lang w:val="en-US"/>
        </w:rPr>
        <w:t xml:space="preserve">(2020) 10(3) </w:t>
      </w:r>
      <w:r w:rsidRPr="008E58DD">
        <w:rPr>
          <w:sz w:val="18"/>
          <w:lang w:val="en-US"/>
        </w:rPr>
        <w:t>Eur J of Risk Regulation</w:t>
      </w:r>
      <w:r>
        <w:rPr>
          <w:sz w:val="18"/>
          <w:lang w:val="en-US"/>
        </w:rPr>
        <w:t xml:space="preserve"> </w:t>
      </w:r>
      <w:r w:rsidRPr="00917CC8">
        <w:rPr>
          <w:sz w:val="18"/>
          <w:szCs w:val="18"/>
          <w:lang w:val="en-US"/>
        </w:rPr>
        <w:t>5</w:t>
      </w:r>
      <w:r>
        <w:rPr>
          <w:sz w:val="18"/>
          <w:szCs w:val="18"/>
          <w:lang w:val="en-US"/>
        </w:rPr>
        <w:t>38-540.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3D5B9" w14:textId="77777777" w:rsidR="00467B24" w:rsidRDefault="00467B24" w:rsidP="00596A45">
    <w:pPr>
      <w:pStyle w:val="Intestazione"/>
      <w:framePr w:wrap="none"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31D645B5" w14:textId="77777777" w:rsidR="00467B24" w:rsidRDefault="00467B24" w:rsidP="00673F84">
    <w:pPr>
      <w:pStyle w:val="Intestazione"/>
      <w:framePr w:wrap="none" w:vAnchor="text" w:hAnchor="margin" w:xAlign="right" w:y="1"/>
      <w:ind w:firstLine="360"/>
      <w:rPr>
        <w:rStyle w:val="Numeropagina"/>
      </w:rPr>
    </w:pPr>
    <w:r>
      <w:rPr>
        <w:rStyle w:val="Numeropagina"/>
      </w:rPr>
      <w:fldChar w:fldCharType="begin"/>
    </w:r>
    <w:r>
      <w:rPr>
        <w:rStyle w:val="Numeropagina"/>
      </w:rPr>
      <w:instrText xml:space="preserve">PAGE  </w:instrText>
    </w:r>
    <w:r>
      <w:rPr>
        <w:rStyle w:val="Numeropagina"/>
      </w:rPr>
      <w:fldChar w:fldCharType="end"/>
    </w:r>
  </w:p>
  <w:p w14:paraId="13F4F0DD" w14:textId="77777777" w:rsidR="00467B24" w:rsidRDefault="00467B24" w:rsidP="00673F84">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D03EE" w14:textId="77777777" w:rsidR="00467B24" w:rsidRDefault="00467B24" w:rsidP="00673F84">
    <w:pPr>
      <w:pStyle w:val="Intestazione"/>
      <w:framePr w:wrap="none"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C1106">
      <w:rPr>
        <w:rStyle w:val="Numeropagina"/>
        <w:noProof/>
      </w:rPr>
      <w:t>2</w:t>
    </w:r>
    <w:r>
      <w:rPr>
        <w:rStyle w:val="Numeropagina"/>
      </w:rPr>
      <w:fldChar w:fldCharType="end"/>
    </w:r>
  </w:p>
  <w:p w14:paraId="575E32A2" w14:textId="712815BF" w:rsidR="00467B24" w:rsidRDefault="00467B24" w:rsidP="00673F84">
    <w:pPr>
      <w:pStyle w:val="Intestazione"/>
      <w:ind w:right="360" w:firstLine="360"/>
      <w:rPr>
        <w:i/>
        <w:iCs/>
        <w:noProof/>
        <w:sz w:val="22"/>
        <w:szCs w:val="22"/>
      </w:rPr>
    </w:pPr>
    <w:r>
      <w:rPr>
        <w:noProof/>
      </w:rPr>
      <w:tab/>
    </w:r>
    <w:r w:rsidRPr="00673F84">
      <w:rPr>
        <w:i/>
        <w:iCs/>
        <w:noProof/>
        <w:sz w:val="22"/>
        <w:szCs w:val="22"/>
      </w:rPr>
      <w:t>JMN EULEN Working Paper Series</w:t>
    </w:r>
  </w:p>
  <w:p w14:paraId="29D74696" w14:textId="77777777" w:rsidR="00467B24" w:rsidRPr="00673F84" w:rsidRDefault="00467B24" w:rsidP="00673F84">
    <w:pPr>
      <w:pStyle w:val="Intestazione"/>
      <w:ind w:right="360" w:firstLine="360"/>
      <w:rPr>
        <w:sz w:val="22"/>
        <w:szCs w:val="2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D493C" w14:textId="6D1F37EB" w:rsidR="00467B24" w:rsidRDefault="00467B24">
    <w:pPr>
      <w:pStyle w:val="Intestazione"/>
    </w:pPr>
    <w:r>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E74174"/>
    <w:multiLevelType w:val="hybridMultilevel"/>
    <w:tmpl w:val="1CE011E6"/>
    <w:lvl w:ilvl="0" w:tplc="4C6095EC">
      <w:start w:val="7"/>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FDF15A5"/>
    <w:multiLevelType w:val="hybridMultilevel"/>
    <w:tmpl w:val="CA2A3652"/>
    <w:lvl w:ilvl="0" w:tplc="D4DCB316">
      <w:start w:val="7"/>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283"/>
  <w:drawingGridHorizontalSpacing w:val="9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EAD"/>
    <w:rsid w:val="0000018F"/>
    <w:rsid w:val="00001801"/>
    <w:rsid w:val="000059EA"/>
    <w:rsid w:val="0001150A"/>
    <w:rsid w:val="00014A52"/>
    <w:rsid w:val="0002068C"/>
    <w:rsid w:val="00022740"/>
    <w:rsid w:val="000260EB"/>
    <w:rsid w:val="000267B5"/>
    <w:rsid w:val="00031F3C"/>
    <w:rsid w:val="00034D5B"/>
    <w:rsid w:val="00036C3D"/>
    <w:rsid w:val="00037769"/>
    <w:rsid w:val="00041843"/>
    <w:rsid w:val="00041950"/>
    <w:rsid w:val="00046C0B"/>
    <w:rsid w:val="00047923"/>
    <w:rsid w:val="00052E67"/>
    <w:rsid w:val="000534A9"/>
    <w:rsid w:val="00056168"/>
    <w:rsid w:val="00056E9F"/>
    <w:rsid w:val="000572C4"/>
    <w:rsid w:val="00061E3F"/>
    <w:rsid w:val="00066B99"/>
    <w:rsid w:val="00072E7D"/>
    <w:rsid w:val="00072E89"/>
    <w:rsid w:val="0007736B"/>
    <w:rsid w:val="00080A9C"/>
    <w:rsid w:val="0008169C"/>
    <w:rsid w:val="00085576"/>
    <w:rsid w:val="00085A79"/>
    <w:rsid w:val="00086827"/>
    <w:rsid w:val="00087E2A"/>
    <w:rsid w:val="00095A62"/>
    <w:rsid w:val="0009787D"/>
    <w:rsid w:val="000A1EF0"/>
    <w:rsid w:val="000A5E13"/>
    <w:rsid w:val="000A6BCE"/>
    <w:rsid w:val="000B13C1"/>
    <w:rsid w:val="000B154F"/>
    <w:rsid w:val="000B3659"/>
    <w:rsid w:val="000B4649"/>
    <w:rsid w:val="000B5BDE"/>
    <w:rsid w:val="000B6616"/>
    <w:rsid w:val="000B69E8"/>
    <w:rsid w:val="000B7FF7"/>
    <w:rsid w:val="000C0ADF"/>
    <w:rsid w:val="000C1AB1"/>
    <w:rsid w:val="000C30A8"/>
    <w:rsid w:val="000C3CB6"/>
    <w:rsid w:val="000C555A"/>
    <w:rsid w:val="000C567D"/>
    <w:rsid w:val="000C5763"/>
    <w:rsid w:val="000C5BF9"/>
    <w:rsid w:val="000C5F88"/>
    <w:rsid w:val="000C7613"/>
    <w:rsid w:val="000D0D12"/>
    <w:rsid w:val="000D2414"/>
    <w:rsid w:val="000D3617"/>
    <w:rsid w:val="000D615E"/>
    <w:rsid w:val="000D67F0"/>
    <w:rsid w:val="000D7FA4"/>
    <w:rsid w:val="000E0511"/>
    <w:rsid w:val="000E1CF5"/>
    <w:rsid w:val="000E23A6"/>
    <w:rsid w:val="000F06D5"/>
    <w:rsid w:val="000F445F"/>
    <w:rsid w:val="000F510B"/>
    <w:rsid w:val="000F556F"/>
    <w:rsid w:val="000F5EBD"/>
    <w:rsid w:val="000F6B71"/>
    <w:rsid w:val="000F7629"/>
    <w:rsid w:val="001028D9"/>
    <w:rsid w:val="00107B4E"/>
    <w:rsid w:val="0011020C"/>
    <w:rsid w:val="00112965"/>
    <w:rsid w:val="00115BE1"/>
    <w:rsid w:val="0011646C"/>
    <w:rsid w:val="0011741D"/>
    <w:rsid w:val="0012184E"/>
    <w:rsid w:val="00122665"/>
    <w:rsid w:val="00127510"/>
    <w:rsid w:val="00127B9B"/>
    <w:rsid w:val="00131192"/>
    <w:rsid w:val="00131F7D"/>
    <w:rsid w:val="00132B95"/>
    <w:rsid w:val="00132F81"/>
    <w:rsid w:val="00133608"/>
    <w:rsid w:val="0013519A"/>
    <w:rsid w:val="0013637A"/>
    <w:rsid w:val="00143475"/>
    <w:rsid w:val="001435FC"/>
    <w:rsid w:val="0014434A"/>
    <w:rsid w:val="00145FAE"/>
    <w:rsid w:val="00151AAD"/>
    <w:rsid w:val="0015209E"/>
    <w:rsid w:val="0015269A"/>
    <w:rsid w:val="0015493A"/>
    <w:rsid w:val="00155331"/>
    <w:rsid w:val="001570D8"/>
    <w:rsid w:val="001605D5"/>
    <w:rsid w:val="00161FCC"/>
    <w:rsid w:val="00165834"/>
    <w:rsid w:val="00165E1C"/>
    <w:rsid w:val="00166512"/>
    <w:rsid w:val="00166F68"/>
    <w:rsid w:val="00167534"/>
    <w:rsid w:val="00172A2A"/>
    <w:rsid w:val="00173E73"/>
    <w:rsid w:val="00176AEA"/>
    <w:rsid w:val="00177971"/>
    <w:rsid w:val="00181668"/>
    <w:rsid w:val="001823DA"/>
    <w:rsid w:val="00187286"/>
    <w:rsid w:val="00187B19"/>
    <w:rsid w:val="00187B8C"/>
    <w:rsid w:val="00192EAF"/>
    <w:rsid w:val="001940E1"/>
    <w:rsid w:val="00194C59"/>
    <w:rsid w:val="00194C65"/>
    <w:rsid w:val="00194FF3"/>
    <w:rsid w:val="001951EF"/>
    <w:rsid w:val="00195E89"/>
    <w:rsid w:val="001970E5"/>
    <w:rsid w:val="001A0283"/>
    <w:rsid w:val="001A15AD"/>
    <w:rsid w:val="001A1631"/>
    <w:rsid w:val="001A18D6"/>
    <w:rsid w:val="001A1B26"/>
    <w:rsid w:val="001A689C"/>
    <w:rsid w:val="001A7137"/>
    <w:rsid w:val="001B1716"/>
    <w:rsid w:val="001B2BBA"/>
    <w:rsid w:val="001B413D"/>
    <w:rsid w:val="001B5108"/>
    <w:rsid w:val="001B6804"/>
    <w:rsid w:val="001B7CAD"/>
    <w:rsid w:val="001C2B49"/>
    <w:rsid w:val="001D0357"/>
    <w:rsid w:val="001D19BE"/>
    <w:rsid w:val="001D21C2"/>
    <w:rsid w:val="001D4A71"/>
    <w:rsid w:val="001D6221"/>
    <w:rsid w:val="001E3072"/>
    <w:rsid w:val="001E7346"/>
    <w:rsid w:val="001F13C6"/>
    <w:rsid w:val="001F4C21"/>
    <w:rsid w:val="001F7E9D"/>
    <w:rsid w:val="00201151"/>
    <w:rsid w:val="00202AF3"/>
    <w:rsid w:val="00202D24"/>
    <w:rsid w:val="00202FE9"/>
    <w:rsid w:val="00203F6B"/>
    <w:rsid w:val="0020446E"/>
    <w:rsid w:val="00204578"/>
    <w:rsid w:val="00207831"/>
    <w:rsid w:val="0021028E"/>
    <w:rsid w:val="002104C7"/>
    <w:rsid w:val="0021222A"/>
    <w:rsid w:val="00217CEE"/>
    <w:rsid w:val="00220C73"/>
    <w:rsid w:val="00220D72"/>
    <w:rsid w:val="002211ED"/>
    <w:rsid w:val="00223CFE"/>
    <w:rsid w:val="00226F3B"/>
    <w:rsid w:val="00230545"/>
    <w:rsid w:val="00232B9D"/>
    <w:rsid w:val="002331AD"/>
    <w:rsid w:val="00233815"/>
    <w:rsid w:val="00234EED"/>
    <w:rsid w:val="00235CF6"/>
    <w:rsid w:val="00240A37"/>
    <w:rsid w:val="00242F4D"/>
    <w:rsid w:val="0024629F"/>
    <w:rsid w:val="002471F2"/>
    <w:rsid w:val="00247C0E"/>
    <w:rsid w:val="00250BE2"/>
    <w:rsid w:val="0025236A"/>
    <w:rsid w:val="002524FF"/>
    <w:rsid w:val="0025435E"/>
    <w:rsid w:val="00255216"/>
    <w:rsid w:val="0026387F"/>
    <w:rsid w:val="00263954"/>
    <w:rsid w:val="002644C6"/>
    <w:rsid w:val="00266BB8"/>
    <w:rsid w:val="0027154E"/>
    <w:rsid w:val="00272066"/>
    <w:rsid w:val="00276330"/>
    <w:rsid w:val="00277717"/>
    <w:rsid w:val="00280AB5"/>
    <w:rsid w:val="00281158"/>
    <w:rsid w:val="0028146E"/>
    <w:rsid w:val="00282159"/>
    <w:rsid w:val="00286464"/>
    <w:rsid w:val="0028792B"/>
    <w:rsid w:val="00290291"/>
    <w:rsid w:val="00291BAF"/>
    <w:rsid w:val="00293930"/>
    <w:rsid w:val="00294D03"/>
    <w:rsid w:val="00297146"/>
    <w:rsid w:val="002971D0"/>
    <w:rsid w:val="002A0948"/>
    <w:rsid w:val="002A2BB2"/>
    <w:rsid w:val="002A3063"/>
    <w:rsid w:val="002A350E"/>
    <w:rsid w:val="002A3CEE"/>
    <w:rsid w:val="002A6649"/>
    <w:rsid w:val="002A7DEB"/>
    <w:rsid w:val="002B06CB"/>
    <w:rsid w:val="002B0922"/>
    <w:rsid w:val="002B290F"/>
    <w:rsid w:val="002B7185"/>
    <w:rsid w:val="002C07FC"/>
    <w:rsid w:val="002C12DA"/>
    <w:rsid w:val="002C1AB6"/>
    <w:rsid w:val="002C599D"/>
    <w:rsid w:val="002C76AF"/>
    <w:rsid w:val="002D244B"/>
    <w:rsid w:val="002D2946"/>
    <w:rsid w:val="002D5871"/>
    <w:rsid w:val="002E505B"/>
    <w:rsid w:val="002E7CBC"/>
    <w:rsid w:val="002F00C1"/>
    <w:rsid w:val="002F3920"/>
    <w:rsid w:val="00300CF9"/>
    <w:rsid w:val="0030177E"/>
    <w:rsid w:val="00304DFA"/>
    <w:rsid w:val="003055EB"/>
    <w:rsid w:val="003061DE"/>
    <w:rsid w:val="003078C7"/>
    <w:rsid w:val="00310C49"/>
    <w:rsid w:val="00312DB3"/>
    <w:rsid w:val="00313322"/>
    <w:rsid w:val="003147D8"/>
    <w:rsid w:val="0032097B"/>
    <w:rsid w:val="0032201C"/>
    <w:rsid w:val="003238C7"/>
    <w:rsid w:val="00325FC6"/>
    <w:rsid w:val="003264DA"/>
    <w:rsid w:val="0032759C"/>
    <w:rsid w:val="00330481"/>
    <w:rsid w:val="00331D81"/>
    <w:rsid w:val="003336F9"/>
    <w:rsid w:val="00341281"/>
    <w:rsid w:val="00341705"/>
    <w:rsid w:val="00341E6E"/>
    <w:rsid w:val="003422DE"/>
    <w:rsid w:val="00351A02"/>
    <w:rsid w:val="00363493"/>
    <w:rsid w:val="00370411"/>
    <w:rsid w:val="00374851"/>
    <w:rsid w:val="00376DD8"/>
    <w:rsid w:val="00381669"/>
    <w:rsid w:val="00381747"/>
    <w:rsid w:val="00382610"/>
    <w:rsid w:val="00384E2C"/>
    <w:rsid w:val="00394C6C"/>
    <w:rsid w:val="00395A57"/>
    <w:rsid w:val="0039619E"/>
    <w:rsid w:val="003A077C"/>
    <w:rsid w:val="003A2707"/>
    <w:rsid w:val="003A2A83"/>
    <w:rsid w:val="003A32BA"/>
    <w:rsid w:val="003A3344"/>
    <w:rsid w:val="003A3712"/>
    <w:rsid w:val="003B221E"/>
    <w:rsid w:val="003B2440"/>
    <w:rsid w:val="003B3A60"/>
    <w:rsid w:val="003B4CED"/>
    <w:rsid w:val="003B5D9F"/>
    <w:rsid w:val="003B5F22"/>
    <w:rsid w:val="003C02B6"/>
    <w:rsid w:val="003C2298"/>
    <w:rsid w:val="003C2D62"/>
    <w:rsid w:val="003C2F30"/>
    <w:rsid w:val="003C46FF"/>
    <w:rsid w:val="003C4B78"/>
    <w:rsid w:val="003C5858"/>
    <w:rsid w:val="003D0E7A"/>
    <w:rsid w:val="003D1367"/>
    <w:rsid w:val="003D1845"/>
    <w:rsid w:val="003D1968"/>
    <w:rsid w:val="003D2843"/>
    <w:rsid w:val="003E16B2"/>
    <w:rsid w:val="003E1AA1"/>
    <w:rsid w:val="003E1BFE"/>
    <w:rsid w:val="003E2F47"/>
    <w:rsid w:val="003E3C27"/>
    <w:rsid w:val="003E425B"/>
    <w:rsid w:val="003E4694"/>
    <w:rsid w:val="003E513F"/>
    <w:rsid w:val="003E6251"/>
    <w:rsid w:val="003F0CD0"/>
    <w:rsid w:val="003F3493"/>
    <w:rsid w:val="003F5A63"/>
    <w:rsid w:val="004007E0"/>
    <w:rsid w:val="00400BA4"/>
    <w:rsid w:val="00401772"/>
    <w:rsid w:val="0040311E"/>
    <w:rsid w:val="00404DFF"/>
    <w:rsid w:val="0040613B"/>
    <w:rsid w:val="00406811"/>
    <w:rsid w:val="00406EBD"/>
    <w:rsid w:val="004079E7"/>
    <w:rsid w:val="00411355"/>
    <w:rsid w:val="00412D8E"/>
    <w:rsid w:val="00416D62"/>
    <w:rsid w:val="00417393"/>
    <w:rsid w:val="0042321B"/>
    <w:rsid w:val="00425928"/>
    <w:rsid w:val="004347A2"/>
    <w:rsid w:val="0043662A"/>
    <w:rsid w:val="004420B6"/>
    <w:rsid w:val="004431D2"/>
    <w:rsid w:val="00445FCC"/>
    <w:rsid w:val="0044606B"/>
    <w:rsid w:val="004504DA"/>
    <w:rsid w:val="00450B45"/>
    <w:rsid w:val="0045323B"/>
    <w:rsid w:val="004540D7"/>
    <w:rsid w:val="004636BF"/>
    <w:rsid w:val="00467A02"/>
    <w:rsid w:val="00467B24"/>
    <w:rsid w:val="00467DA9"/>
    <w:rsid w:val="00471437"/>
    <w:rsid w:val="004765D3"/>
    <w:rsid w:val="00477022"/>
    <w:rsid w:val="004772C6"/>
    <w:rsid w:val="004816DC"/>
    <w:rsid w:val="00482CA7"/>
    <w:rsid w:val="00484B86"/>
    <w:rsid w:val="004866E1"/>
    <w:rsid w:val="004909C4"/>
    <w:rsid w:val="00491A97"/>
    <w:rsid w:val="00491DAA"/>
    <w:rsid w:val="004957BD"/>
    <w:rsid w:val="00496652"/>
    <w:rsid w:val="0049760C"/>
    <w:rsid w:val="00497ADF"/>
    <w:rsid w:val="004A09A5"/>
    <w:rsid w:val="004A317A"/>
    <w:rsid w:val="004A4980"/>
    <w:rsid w:val="004A4D40"/>
    <w:rsid w:val="004A6382"/>
    <w:rsid w:val="004A7EE3"/>
    <w:rsid w:val="004B3226"/>
    <w:rsid w:val="004B470A"/>
    <w:rsid w:val="004B6CF7"/>
    <w:rsid w:val="004B742F"/>
    <w:rsid w:val="004C1850"/>
    <w:rsid w:val="004C351B"/>
    <w:rsid w:val="004C384E"/>
    <w:rsid w:val="004D1480"/>
    <w:rsid w:val="004D17BC"/>
    <w:rsid w:val="004D1B87"/>
    <w:rsid w:val="004D325E"/>
    <w:rsid w:val="004D4657"/>
    <w:rsid w:val="004D66DA"/>
    <w:rsid w:val="004E0C88"/>
    <w:rsid w:val="004E3F03"/>
    <w:rsid w:val="004E5978"/>
    <w:rsid w:val="004E6F89"/>
    <w:rsid w:val="004F45F8"/>
    <w:rsid w:val="004F5160"/>
    <w:rsid w:val="004F631D"/>
    <w:rsid w:val="00503063"/>
    <w:rsid w:val="00503450"/>
    <w:rsid w:val="00503AD8"/>
    <w:rsid w:val="00504FA0"/>
    <w:rsid w:val="00506988"/>
    <w:rsid w:val="00513D89"/>
    <w:rsid w:val="00515640"/>
    <w:rsid w:val="00515E86"/>
    <w:rsid w:val="00516444"/>
    <w:rsid w:val="0052024A"/>
    <w:rsid w:val="0052191C"/>
    <w:rsid w:val="00523AB5"/>
    <w:rsid w:val="00524226"/>
    <w:rsid w:val="00526CB4"/>
    <w:rsid w:val="00526FFC"/>
    <w:rsid w:val="0053140A"/>
    <w:rsid w:val="00533380"/>
    <w:rsid w:val="00541969"/>
    <w:rsid w:val="00542EF2"/>
    <w:rsid w:val="00543E01"/>
    <w:rsid w:val="00544D28"/>
    <w:rsid w:val="0054518D"/>
    <w:rsid w:val="00545FDE"/>
    <w:rsid w:val="00551D30"/>
    <w:rsid w:val="0055293E"/>
    <w:rsid w:val="00557828"/>
    <w:rsid w:val="005601CF"/>
    <w:rsid w:val="0056073B"/>
    <w:rsid w:val="005608A8"/>
    <w:rsid w:val="005612CC"/>
    <w:rsid w:val="00562204"/>
    <w:rsid w:val="005651BD"/>
    <w:rsid w:val="00565B79"/>
    <w:rsid w:val="00567B69"/>
    <w:rsid w:val="005712C1"/>
    <w:rsid w:val="00571F8B"/>
    <w:rsid w:val="00576528"/>
    <w:rsid w:val="0057704D"/>
    <w:rsid w:val="005805BB"/>
    <w:rsid w:val="00583167"/>
    <w:rsid w:val="00583292"/>
    <w:rsid w:val="00591390"/>
    <w:rsid w:val="00594392"/>
    <w:rsid w:val="00596A45"/>
    <w:rsid w:val="00597016"/>
    <w:rsid w:val="005A00DF"/>
    <w:rsid w:val="005A2E54"/>
    <w:rsid w:val="005A3CD8"/>
    <w:rsid w:val="005A3D8F"/>
    <w:rsid w:val="005B0368"/>
    <w:rsid w:val="005B196E"/>
    <w:rsid w:val="005B38F0"/>
    <w:rsid w:val="005B40AA"/>
    <w:rsid w:val="005B5CA7"/>
    <w:rsid w:val="005B62B9"/>
    <w:rsid w:val="005B6D71"/>
    <w:rsid w:val="005B7FF7"/>
    <w:rsid w:val="005C1106"/>
    <w:rsid w:val="005C136F"/>
    <w:rsid w:val="005C1489"/>
    <w:rsid w:val="005C419B"/>
    <w:rsid w:val="005C42EF"/>
    <w:rsid w:val="005D559A"/>
    <w:rsid w:val="005D61AC"/>
    <w:rsid w:val="005E4C7D"/>
    <w:rsid w:val="005E4DCA"/>
    <w:rsid w:val="005E767D"/>
    <w:rsid w:val="005F1137"/>
    <w:rsid w:val="005F55C9"/>
    <w:rsid w:val="005F6EBC"/>
    <w:rsid w:val="00600C2C"/>
    <w:rsid w:val="00604257"/>
    <w:rsid w:val="00604DA1"/>
    <w:rsid w:val="00605848"/>
    <w:rsid w:val="00605DD4"/>
    <w:rsid w:val="006062D4"/>
    <w:rsid w:val="00606E61"/>
    <w:rsid w:val="006147A8"/>
    <w:rsid w:val="00615C68"/>
    <w:rsid w:val="00615FEB"/>
    <w:rsid w:val="00616198"/>
    <w:rsid w:val="00616D46"/>
    <w:rsid w:val="006178BE"/>
    <w:rsid w:val="006179BE"/>
    <w:rsid w:val="006208BE"/>
    <w:rsid w:val="00620C78"/>
    <w:rsid w:val="00620E25"/>
    <w:rsid w:val="00621335"/>
    <w:rsid w:val="00625738"/>
    <w:rsid w:val="00625B08"/>
    <w:rsid w:val="0062784E"/>
    <w:rsid w:val="00627A34"/>
    <w:rsid w:val="00627DD8"/>
    <w:rsid w:val="006305E3"/>
    <w:rsid w:val="00631EB2"/>
    <w:rsid w:val="006327DB"/>
    <w:rsid w:val="0063489B"/>
    <w:rsid w:val="0063592B"/>
    <w:rsid w:val="00635CE6"/>
    <w:rsid w:val="006507A1"/>
    <w:rsid w:val="00652F74"/>
    <w:rsid w:val="006531DD"/>
    <w:rsid w:val="00654987"/>
    <w:rsid w:val="006573FD"/>
    <w:rsid w:val="0065772B"/>
    <w:rsid w:val="006622EF"/>
    <w:rsid w:val="006653F0"/>
    <w:rsid w:val="00666262"/>
    <w:rsid w:val="006665E0"/>
    <w:rsid w:val="006701F6"/>
    <w:rsid w:val="00671FC5"/>
    <w:rsid w:val="00673F84"/>
    <w:rsid w:val="00674B25"/>
    <w:rsid w:val="00675307"/>
    <w:rsid w:val="00680B9C"/>
    <w:rsid w:val="00687008"/>
    <w:rsid w:val="00694019"/>
    <w:rsid w:val="006942D1"/>
    <w:rsid w:val="00694816"/>
    <w:rsid w:val="00694EF2"/>
    <w:rsid w:val="0069603B"/>
    <w:rsid w:val="006A0390"/>
    <w:rsid w:val="006A05AE"/>
    <w:rsid w:val="006A344E"/>
    <w:rsid w:val="006A37AB"/>
    <w:rsid w:val="006A4B2F"/>
    <w:rsid w:val="006B180C"/>
    <w:rsid w:val="006B2B64"/>
    <w:rsid w:val="006B3BF6"/>
    <w:rsid w:val="006B3D5B"/>
    <w:rsid w:val="006B7279"/>
    <w:rsid w:val="006C03AC"/>
    <w:rsid w:val="006C2F22"/>
    <w:rsid w:val="006C421C"/>
    <w:rsid w:val="006C5D43"/>
    <w:rsid w:val="006C66DF"/>
    <w:rsid w:val="006D1B43"/>
    <w:rsid w:val="006D65D2"/>
    <w:rsid w:val="006D72D6"/>
    <w:rsid w:val="006E1172"/>
    <w:rsid w:val="006E39A6"/>
    <w:rsid w:val="006E4F12"/>
    <w:rsid w:val="006E61E2"/>
    <w:rsid w:val="006F1ACF"/>
    <w:rsid w:val="006F23F5"/>
    <w:rsid w:val="006F44A3"/>
    <w:rsid w:val="006F65E3"/>
    <w:rsid w:val="006F7587"/>
    <w:rsid w:val="006F7719"/>
    <w:rsid w:val="00701624"/>
    <w:rsid w:val="007045C1"/>
    <w:rsid w:val="007074A2"/>
    <w:rsid w:val="00711483"/>
    <w:rsid w:val="00711C55"/>
    <w:rsid w:val="0071394B"/>
    <w:rsid w:val="007173E5"/>
    <w:rsid w:val="00720511"/>
    <w:rsid w:val="00720906"/>
    <w:rsid w:val="007229B2"/>
    <w:rsid w:val="00723D69"/>
    <w:rsid w:val="00726120"/>
    <w:rsid w:val="007308CC"/>
    <w:rsid w:val="00731ECC"/>
    <w:rsid w:val="00733B1F"/>
    <w:rsid w:val="0073413C"/>
    <w:rsid w:val="00735415"/>
    <w:rsid w:val="00735AF9"/>
    <w:rsid w:val="00735D2F"/>
    <w:rsid w:val="0073744E"/>
    <w:rsid w:val="00737BF1"/>
    <w:rsid w:val="00740AA9"/>
    <w:rsid w:val="00740E13"/>
    <w:rsid w:val="00741FCC"/>
    <w:rsid w:val="00742F0C"/>
    <w:rsid w:val="00745A72"/>
    <w:rsid w:val="007476A3"/>
    <w:rsid w:val="007534BC"/>
    <w:rsid w:val="00754B63"/>
    <w:rsid w:val="00755061"/>
    <w:rsid w:val="007605B7"/>
    <w:rsid w:val="00760BAB"/>
    <w:rsid w:val="007614E8"/>
    <w:rsid w:val="0076288F"/>
    <w:rsid w:val="00763B07"/>
    <w:rsid w:val="00765F4E"/>
    <w:rsid w:val="00766B26"/>
    <w:rsid w:val="00766C2F"/>
    <w:rsid w:val="00767083"/>
    <w:rsid w:val="00771FA8"/>
    <w:rsid w:val="00772654"/>
    <w:rsid w:val="00773418"/>
    <w:rsid w:val="00773763"/>
    <w:rsid w:val="00776B86"/>
    <w:rsid w:val="00780956"/>
    <w:rsid w:val="00782380"/>
    <w:rsid w:val="00782C4B"/>
    <w:rsid w:val="00784670"/>
    <w:rsid w:val="007870B5"/>
    <w:rsid w:val="007904FC"/>
    <w:rsid w:val="0079248E"/>
    <w:rsid w:val="007950DE"/>
    <w:rsid w:val="00796D46"/>
    <w:rsid w:val="007A0CAE"/>
    <w:rsid w:val="007A24B8"/>
    <w:rsid w:val="007A402C"/>
    <w:rsid w:val="007B2685"/>
    <w:rsid w:val="007B3282"/>
    <w:rsid w:val="007B35B4"/>
    <w:rsid w:val="007B4CDB"/>
    <w:rsid w:val="007B6906"/>
    <w:rsid w:val="007B73AF"/>
    <w:rsid w:val="007C02EE"/>
    <w:rsid w:val="007C09AF"/>
    <w:rsid w:val="007C44FC"/>
    <w:rsid w:val="007C71B7"/>
    <w:rsid w:val="007D2F9E"/>
    <w:rsid w:val="007D444E"/>
    <w:rsid w:val="007D4C84"/>
    <w:rsid w:val="007D7BF7"/>
    <w:rsid w:val="007E324A"/>
    <w:rsid w:val="007E41A0"/>
    <w:rsid w:val="007E5AA2"/>
    <w:rsid w:val="007F25DC"/>
    <w:rsid w:val="007F26B2"/>
    <w:rsid w:val="007F2B6D"/>
    <w:rsid w:val="007F3D67"/>
    <w:rsid w:val="007F41DB"/>
    <w:rsid w:val="00802244"/>
    <w:rsid w:val="008069BD"/>
    <w:rsid w:val="00807499"/>
    <w:rsid w:val="00810B93"/>
    <w:rsid w:val="00811E04"/>
    <w:rsid w:val="008122D7"/>
    <w:rsid w:val="0081265A"/>
    <w:rsid w:val="0081520A"/>
    <w:rsid w:val="00820D2E"/>
    <w:rsid w:val="00821CB1"/>
    <w:rsid w:val="008220E2"/>
    <w:rsid w:val="00823C7F"/>
    <w:rsid w:val="00825575"/>
    <w:rsid w:val="00826D8B"/>
    <w:rsid w:val="00830108"/>
    <w:rsid w:val="0083209E"/>
    <w:rsid w:val="0083469D"/>
    <w:rsid w:val="008349A9"/>
    <w:rsid w:val="00835242"/>
    <w:rsid w:val="00836D16"/>
    <w:rsid w:val="00845099"/>
    <w:rsid w:val="008470BE"/>
    <w:rsid w:val="0084732F"/>
    <w:rsid w:val="00847451"/>
    <w:rsid w:val="00847618"/>
    <w:rsid w:val="008476A8"/>
    <w:rsid w:val="008478FD"/>
    <w:rsid w:val="00850BDD"/>
    <w:rsid w:val="00852D5F"/>
    <w:rsid w:val="00854CFE"/>
    <w:rsid w:val="0085599D"/>
    <w:rsid w:val="008561DC"/>
    <w:rsid w:val="008600F4"/>
    <w:rsid w:val="00860DBE"/>
    <w:rsid w:val="00861D16"/>
    <w:rsid w:val="00866B2F"/>
    <w:rsid w:val="00867F97"/>
    <w:rsid w:val="008705C0"/>
    <w:rsid w:val="00877948"/>
    <w:rsid w:val="00880A3E"/>
    <w:rsid w:val="00883414"/>
    <w:rsid w:val="00884E63"/>
    <w:rsid w:val="00885A44"/>
    <w:rsid w:val="00886EEF"/>
    <w:rsid w:val="00892942"/>
    <w:rsid w:val="00893262"/>
    <w:rsid w:val="0089559A"/>
    <w:rsid w:val="00896C39"/>
    <w:rsid w:val="008A086B"/>
    <w:rsid w:val="008A16E6"/>
    <w:rsid w:val="008A1C03"/>
    <w:rsid w:val="008A20FF"/>
    <w:rsid w:val="008A6A4C"/>
    <w:rsid w:val="008A78F6"/>
    <w:rsid w:val="008B3777"/>
    <w:rsid w:val="008B3CFB"/>
    <w:rsid w:val="008B420F"/>
    <w:rsid w:val="008B6D98"/>
    <w:rsid w:val="008B7E0A"/>
    <w:rsid w:val="008C2471"/>
    <w:rsid w:val="008C37BC"/>
    <w:rsid w:val="008C38D0"/>
    <w:rsid w:val="008C3B75"/>
    <w:rsid w:val="008C5185"/>
    <w:rsid w:val="008C67BB"/>
    <w:rsid w:val="008C793B"/>
    <w:rsid w:val="008D0BD9"/>
    <w:rsid w:val="008D16E7"/>
    <w:rsid w:val="008D22AC"/>
    <w:rsid w:val="008D2DBE"/>
    <w:rsid w:val="008D4E33"/>
    <w:rsid w:val="008E14FF"/>
    <w:rsid w:val="008E26FB"/>
    <w:rsid w:val="008E3363"/>
    <w:rsid w:val="008E3D0E"/>
    <w:rsid w:val="008E3E54"/>
    <w:rsid w:val="008E5169"/>
    <w:rsid w:val="008E58DD"/>
    <w:rsid w:val="008E6A2C"/>
    <w:rsid w:val="008E780B"/>
    <w:rsid w:val="008F1187"/>
    <w:rsid w:val="008F6A18"/>
    <w:rsid w:val="008F7812"/>
    <w:rsid w:val="008F7C0E"/>
    <w:rsid w:val="00900C35"/>
    <w:rsid w:val="00901CE6"/>
    <w:rsid w:val="009028B3"/>
    <w:rsid w:val="00902BD6"/>
    <w:rsid w:val="009118FB"/>
    <w:rsid w:val="00911A18"/>
    <w:rsid w:val="00912ADC"/>
    <w:rsid w:val="00912F4A"/>
    <w:rsid w:val="009141B4"/>
    <w:rsid w:val="009154A9"/>
    <w:rsid w:val="0091637C"/>
    <w:rsid w:val="00917CC8"/>
    <w:rsid w:val="009209FF"/>
    <w:rsid w:val="0092227E"/>
    <w:rsid w:val="0092325F"/>
    <w:rsid w:val="009236B8"/>
    <w:rsid w:val="0093073A"/>
    <w:rsid w:val="009331AF"/>
    <w:rsid w:val="009373F1"/>
    <w:rsid w:val="009411F1"/>
    <w:rsid w:val="009415D2"/>
    <w:rsid w:val="00942403"/>
    <w:rsid w:val="0094343A"/>
    <w:rsid w:val="00943E2A"/>
    <w:rsid w:val="0095041E"/>
    <w:rsid w:val="00957A7A"/>
    <w:rsid w:val="00960C4A"/>
    <w:rsid w:val="0096258E"/>
    <w:rsid w:val="009637D0"/>
    <w:rsid w:val="00964C25"/>
    <w:rsid w:val="00965790"/>
    <w:rsid w:val="00966E24"/>
    <w:rsid w:val="00970745"/>
    <w:rsid w:val="00971711"/>
    <w:rsid w:val="0097318C"/>
    <w:rsid w:val="009736D8"/>
    <w:rsid w:val="00974084"/>
    <w:rsid w:val="0097705C"/>
    <w:rsid w:val="00982578"/>
    <w:rsid w:val="00982C06"/>
    <w:rsid w:val="009839AB"/>
    <w:rsid w:val="00986345"/>
    <w:rsid w:val="0098647E"/>
    <w:rsid w:val="009877CF"/>
    <w:rsid w:val="00987B11"/>
    <w:rsid w:val="00990E63"/>
    <w:rsid w:val="009910DE"/>
    <w:rsid w:val="00995897"/>
    <w:rsid w:val="00997871"/>
    <w:rsid w:val="00997D19"/>
    <w:rsid w:val="009A190E"/>
    <w:rsid w:val="009A25B0"/>
    <w:rsid w:val="009A4A87"/>
    <w:rsid w:val="009A63FD"/>
    <w:rsid w:val="009A6414"/>
    <w:rsid w:val="009B52FB"/>
    <w:rsid w:val="009C167C"/>
    <w:rsid w:val="009C44D6"/>
    <w:rsid w:val="009C5014"/>
    <w:rsid w:val="009C5768"/>
    <w:rsid w:val="009C6D81"/>
    <w:rsid w:val="009D03D7"/>
    <w:rsid w:val="009D04CA"/>
    <w:rsid w:val="009D1373"/>
    <w:rsid w:val="009D57B2"/>
    <w:rsid w:val="009D5A9B"/>
    <w:rsid w:val="009E0861"/>
    <w:rsid w:val="009E11AD"/>
    <w:rsid w:val="009E16F3"/>
    <w:rsid w:val="009E24CE"/>
    <w:rsid w:val="009E321C"/>
    <w:rsid w:val="009E4F04"/>
    <w:rsid w:val="009E53BE"/>
    <w:rsid w:val="009E6054"/>
    <w:rsid w:val="009E6594"/>
    <w:rsid w:val="009F4A5C"/>
    <w:rsid w:val="00A00701"/>
    <w:rsid w:val="00A04395"/>
    <w:rsid w:val="00A0455E"/>
    <w:rsid w:val="00A072D9"/>
    <w:rsid w:val="00A136DB"/>
    <w:rsid w:val="00A143BC"/>
    <w:rsid w:val="00A15331"/>
    <w:rsid w:val="00A15D03"/>
    <w:rsid w:val="00A203FA"/>
    <w:rsid w:val="00A20CD8"/>
    <w:rsid w:val="00A212E6"/>
    <w:rsid w:val="00A216D0"/>
    <w:rsid w:val="00A233F2"/>
    <w:rsid w:val="00A32234"/>
    <w:rsid w:val="00A327E1"/>
    <w:rsid w:val="00A34EAD"/>
    <w:rsid w:val="00A35A35"/>
    <w:rsid w:val="00A368C2"/>
    <w:rsid w:val="00A4224D"/>
    <w:rsid w:val="00A42653"/>
    <w:rsid w:val="00A43B5F"/>
    <w:rsid w:val="00A456CE"/>
    <w:rsid w:val="00A50573"/>
    <w:rsid w:val="00A50DEB"/>
    <w:rsid w:val="00A5137D"/>
    <w:rsid w:val="00A56155"/>
    <w:rsid w:val="00A572A3"/>
    <w:rsid w:val="00A57852"/>
    <w:rsid w:val="00A6028A"/>
    <w:rsid w:val="00A60689"/>
    <w:rsid w:val="00A61536"/>
    <w:rsid w:val="00A615CC"/>
    <w:rsid w:val="00A621C4"/>
    <w:rsid w:val="00A62427"/>
    <w:rsid w:val="00A63569"/>
    <w:rsid w:val="00A64E94"/>
    <w:rsid w:val="00A651B3"/>
    <w:rsid w:val="00A747C7"/>
    <w:rsid w:val="00A814FB"/>
    <w:rsid w:val="00A8789B"/>
    <w:rsid w:val="00A87BA8"/>
    <w:rsid w:val="00A90656"/>
    <w:rsid w:val="00A90E89"/>
    <w:rsid w:val="00A9199C"/>
    <w:rsid w:val="00A92E42"/>
    <w:rsid w:val="00A9388D"/>
    <w:rsid w:val="00A93C78"/>
    <w:rsid w:val="00A952C1"/>
    <w:rsid w:val="00A958A9"/>
    <w:rsid w:val="00AA3327"/>
    <w:rsid w:val="00AA7D00"/>
    <w:rsid w:val="00AB29A3"/>
    <w:rsid w:val="00AB349B"/>
    <w:rsid w:val="00AB7E15"/>
    <w:rsid w:val="00AC38EB"/>
    <w:rsid w:val="00AC4BE8"/>
    <w:rsid w:val="00AC7C71"/>
    <w:rsid w:val="00AD4F6C"/>
    <w:rsid w:val="00AE0B30"/>
    <w:rsid w:val="00AE146B"/>
    <w:rsid w:val="00AE18D9"/>
    <w:rsid w:val="00AE19A1"/>
    <w:rsid w:val="00AE1D18"/>
    <w:rsid w:val="00AF2EC5"/>
    <w:rsid w:val="00AF4537"/>
    <w:rsid w:val="00AF4778"/>
    <w:rsid w:val="00AF5BD2"/>
    <w:rsid w:val="00AF6267"/>
    <w:rsid w:val="00AF6607"/>
    <w:rsid w:val="00AF7835"/>
    <w:rsid w:val="00B00340"/>
    <w:rsid w:val="00B04124"/>
    <w:rsid w:val="00B04C9B"/>
    <w:rsid w:val="00B05DB2"/>
    <w:rsid w:val="00B05E11"/>
    <w:rsid w:val="00B06DC0"/>
    <w:rsid w:val="00B113FA"/>
    <w:rsid w:val="00B11892"/>
    <w:rsid w:val="00B1488E"/>
    <w:rsid w:val="00B14907"/>
    <w:rsid w:val="00B20174"/>
    <w:rsid w:val="00B229D3"/>
    <w:rsid w:val="00B25963"/>
    <w:rsid w:val="00B27997"/>
    <w:rsid w:val="00B27B5B"/>
    <w:rsid w:val="00B3277C"/>
    <w:rsid w:val="00B339C5"/>
    <w:rsid w:val="00B42FF3"/>
    <w:rsid w:val="00B43FB8"/>
    <w:rsid w:val="00B4413E"/>
    <w:rsid w:val="00B474E6"/>
    <w:rsid w:val="00B475FC"/>
    <w:rsid w:val="00B47B83"/>
    <w:rsid w:val="00B502DE"/>
    <w:rsid w:val="00B53127"/>
    <w:rsid w:val="00B571E0"/>
    <w:rsid w:val="00B60FFF"/>
    <w:rsid w:val="00B638BC"/>
    <w:rsid w:val="00B6401A"/>
    <w:rsid w:val="00B644D5"/>
    <w:rsid w:val="00B66CB3"/>
    <w:rsid w:val="00B67813"/>
    <w:rsid w:val="00B748CA"/>
    <w:rsid w:val="00B74B6C"/>
    <w:rsid w:val="00B77D01"/>
    <w:rsid w:val="00B80EB5"/>
    <w:rsid w:val="00B81E15"/>
    <w:rsid w:val="00B820E6"/>
    <w:rsid w:val="00B83777"/>
    <w:rsid w:val="00B84BFF"/>
    <w:rsid w:val="00B84E5D"/>
    <w:rsid w:val="00B85EEC"/>
    <w:rsid w:val="00B87393"/>
    <w:rsid w:val="00B912F0"/>
    <w:rsid w:val="00B91EF0"/>
    <w:rsid w:val="00B95CAA"/>
    <w:rsid w:val="00B969C3"/>
    <w:rsid w:val="00B96F76"/>
    <w:rsid w:val="00B971A9"/>
    <w:rsid w:val="00B978D3"/>
    <w:rsid w:val="00BA2B18"/>
    <w:rsid w:val="00BA3558"/>
    <w:rsid w:val="00BA5E79"/>
    <w:rsid w:val="00BB030E"/>
    <w:rsid w:val="00BB1E21"/>
    <w:rsid w:val="00BB7490"/>
    <w:rsid w:val="00BC1974"/>
    <w:rsid w:val="00BC39FA"/>
    <w:rsid w:val="00BC51A3"/>
    <w:rsid w:val="00BC68EE"/>
    <w:rsid w:val="00BC7F15"/>
    <w:rsid w:val="00BD20E5"/>
    <w:rsid w:val="00BE01B4"/>
    <w:rsid w:val="00BE2039"/>
    <w:rsid w:val="00BE2E78"/>
    <w:rsid w:val="00BE3754"/>
    <w:rsid w:val="00BE545C"/>
    <w:rsid w:val="00BF3B1A"/>
    <w:rsid w:val="00BF4C74"/>
    <w:rsid w:val="00BF5C44"/>
    <w:rsid w:val="00BF7010"/>
    <w:rsid w:val="00BF7FD1"/>
    <w:rsid w:val="00C00672"/>
    <w:rsid w:val="00C00D75"/>
    <w:rsid w:val="00C04A12"/>
    <w:rsid w:val="00C07349"/>
    <w:rsid w:val="00C100A9"/>
    <w:rsid w:val="00C153B2"/>
    <w:rsid w:val="00C15AA2"/>
    <w:rsid w:val="00C15F97"/>
    <w:rsid w:val="00C17240"/>
    <w:rsid w:val="00C21404"/>
    <w:rsid w:val="00C220FA"/>
    <w:rsid w:val="00C22974"/>
    <w:rsid w:val="00C231BF"/>
    <w:rsid w:val="00C23455"/>
    <w:rsid w:val="00C2688F"/>
    <w:rsid w:val="00C27410"/>
    <w:rsid w:val="00C300D8"/>
    <w:rsid w:val="00C30798"/>
    <w:rsid w:val="00C3143B"/>
    <w:rsid w:val="00C35755"/>
    <w:rsid w:val="00C36494"/>
    <w:rsid w:val="00C372B9"/>
    <w:rsid w:val="00C37F75"/>
    <w:rsid w:val="00C40D44"/>
    <w:rsid w:val="00C41149"/>
    <w:rsid w:val="00C4204A"/>
    <w:rsid w:val="00C4328E"/>
    <w:rsid w:val="00C44431"/>
    <w:rsid w:val="00C467D7"/>
    <w:rsid w:val="00C47F2C"/>
    <w:rsid w:val="00C50CD4"/>
    <w:rsid w:val="00C54FFA"/>
    <w:rsid w:val="00C56C10"/>
    <w:rsid w:val="00C60F7B"/>
    <w:rsid w:val="00C66B63"/>
    <w:rsid w:val="00C700F9"/>
    <w:rsid w:val="00C7019F"/>
    <w:rsid w:val="00C7098F"/>
    <w:rsid w:val="00C7156D"/>
    <w:rsid w:val="00C75251"/>
    <w:rsid w:val="00C75C36"/>
    <w:rsid w:val="00C76A8B"/>
    <w:rsid w:val="00C81D00"/>
    <w:rsid w:val="00C82280"/>
    <w:rsid w:val="00C83157"/>
    <w:rsid w:val="00C9691A"/>
    <w:rsid w:val="00C97E31"/>
    <w:rsid w:val="00CA03F6"/>
    <w:rsid w:val="00CA0751"/>
    <w:rsid w:val="00CA2C10"/>
    <w:rsid w:val="00CA3E66"/>
    <w:rsid w:val="00CA53A1"/>
    <w:rsid w:val="00CA582C"/>
    <w:rsid w:val="00CA6222"/>
    <w:rsid w:val="00CB1A0B"/>
    <w:rsid w:val="00CB3E98"/>
    <w:rsid w:val="00CB6843"/>
    <w:rsid w:val="00CB7A8D"/>
    <w:rsid w:val="00CC26C0"/>
    <w:rsid w:val="00CC4336"/>
    <w:rsid w:val="00CC549A"/>
    <w:rsid w:val="00CC55C6"/>
    <w:rsid w:val="00CC5EAA"/>
    <w:rsid w:val="00CD1484"/>
    <w:rsid w:val="00CD15E7"/>
    <w:rsid w:val="00CE118A"/>
    <w:rsid w:val="00CE7BC4"/>
    <w:rsid w:val="00CF0D6A"/>
    <w:rsid w:val="00CF16E7"/>
    <w:rsid w:val="00CF2384"/>
    <w:rsid w:val="00CF3729"/>
    <w:rsid w:val="00D01102"/>
    <w:rsid w:val="00D02031"/>
    <w:rsid w:val="00D0667B"/>
    <w:rsid w:val="00D07C50"/>
    <w:rsid w:val="00D1191E"/>
    <w:rsid w:val="00D14F7E"/>
    <w:rsid w:val="00D1565B"/>
    <w:rsid w:val="00D21A97"/>
    <w:rsid w:val="00D255AD"/>
    <w:rsid w:val="00D26094"/>
    <w:rsid w:val="00D26BBB"/>
    <w:rsid w:val="00D27368"/>
    <w:rsid w:val="00D30B37"/>
    <w:rsid w:val="00D31877"/>
    <w:rsid w:val="00D33A26"/>
    <w:rsid w:val="00D33FFC"/>
    <w:rsid w:val="00D356E0"/>
    <w:rsid w:val="00D35743"/>
    <w:rsid w:val="00D4316A"/>
    <w:rsid w:val="00D46FF9"/>
    <w:rsid w:val="00D50829"/>
    <w:rsid w:val="00D545FB"/>
    <w:rsid w:val="00D5557B"/>
    <w:rsid w:val="00D60E20"/>
    <w:rsid w:val="00D65677"/>
    <w:rsid w:val="00D70C7A"/>
    <w:rsid w:val="00D73DA0"/>
    <w:rsid w:val="00D755A3"/>
    <w:rsid w:val="00D77EE0"/>
    <w:rsid w:val="00D81D87"/>
    <w:rsid w:val="00D81F62"/>
    <w:rsid w:val="00D84C22"/>
    <w:rsid w:val="00D908F5"/>
    <w:rsid w:val="00D90F28"/>
    <w:rsid w:val="00DA0113"/>
    <w:rsid w:val="00DA02F2"/>
    <w:rsid w:val="00DA1B28"/>
    <w:rsid w:val="00DB1B43"/>
    <w:rsid w:val="00DB30CF"/>
    <w:rsid w:val="00DB3BEA"/>
    <w:rsid w:val="00DB53D4"/>
    <w:rsid w:val="00DC0038"/>
    <w:rsid w:val="00DC1B0D"/>
    <w:rsid w:val="00DC207D"/>
    <w:rsid w:val="00DC2DE0"/>
    <w:rsid w:val="00DD013D"/>
    <w:rsid w:val="00DD3673"/>
    <w:rsid w:val="00DD374E"/>
    <w:rsid w:val="00DD46AF"/>
    <w:rsid w:val="00DD48E4"/>
    <w:rsid w:val="00DD5E12"/>
    <w:rsid w:val="00DD7690"/>
    <w:rsid w:val="00DE0175"/>
    <w:rsid w:val="00DE035B"/>
    <w:rsid w:val="00DE1AA2"/>
    <w:rsid w:val="00DE2E52"/>
    <w:rsid w:val="00DE7584"/>
    <w:rsid w:val="00DF118D"/>
    <w:rsid w:val="00DF2329"/>
    <w:rsid w:val="00DF394B"/>
    <w:rsid w:val="00DF3FD0"/>
    <w:rsid w:val="00DF5EC4"/>
    <w:rsid w:val="00E039FA"/>
    <w:rsid w:val="00E042ED"/>
    <w:rsid w:val="00E138F3"/>
    <w:rsid w:val="00E15E75"/>
    <w:rsid w:val="00E22793"/>
    <w:rsid w:val="00E23ABA"/>
    <w:rsid w:val="00E24A96"/>
    <w:rsid w:val="00E33939"/>
    <w:rsid w:val="00E36223"/>
    <w:rsid w:val="00E3680F"/>
    <w:rsid w:val="00E36B9D"/>
    <w:rsid w:val="00E36C84"/>
    <w:rsid w:val="00E375F0"/>
    <w:rsid w:val="00E4069C"/>
    <w:rsid w:val="00E45BC3"/>
    <w:rsid w:val="00E4751F"/>
    <w:rsid w:val="00E53420"/>
    <w:rsid w:val="00E5399C"/>
    <w:rsid w:val="00E54BEE"/>
    <w:rsid w:val="00E575D7"/>
    <w:rsid w:val="00E600C4"/>
    <w:rsid w:val="00E60A45"/>
    <w:rsid w:val="00E6190C"/>
    <w:rsid w:val="00E61C1B"/>
    <w:rsid w:val="00E626DC"/>
    <w:rsid w:val="00E62BB3"/>
    <w:rsid w:val="00E63E08"/>
    <w:rsid w:val="00E700E5"/>
    <w:rsid w:val="00E721A8"/>
    <w:rsid w:val="00E72268"/>
    <w:rsid w:val="00E723EB"/>
    <w:rsid w:val="00E72E6E"/>
    <w:rsid w:val="00E73FB0"/>
    <w:rsid w:val="00E77BCA"/>
    <w:rsid w:val="00E80B47"/>
    <w:rsid w:val="00E90B38"/>
    <w:rsid w:val="00E916FF"/>
    <w:rsid w:val="00E9201C"/>
    <w:rsid w:val="00E93856"/>
    <w:rsid w:val="00E95B4D"/>
    <w:rsid w:val="00EA1F4C"/>
    <w:rsid w:val="00EA4502"/>
    <w:rsid w:val="00EA6310"/>
    <w:rsid w:val="00EA7140"/>
    <w:rsid w:val="00EA77FA"/>
    <w:rsid w:val="00EB2CFD"/>
    <w:rsid w:val="00EB7106"/>
    <w:rsid w:val="00EC2292"/>
    <w:rsid w:val="00EC3674"/>
    <w:rsid w:val="00EC6ED5"/>
    <w:rsid w:val="00EC7FA7"/>
    <w:rsid w:val="00ED06C1"/>
    <w:rsid w:val="00ED0726"/>
    <w:rsid w:val="00ED715C"/>
    <w:rsid w:val="00EE0C00"/>
    <w:rsid w:val="00EE16C2"/>
    <w:rsid w:val="00EE1A4E"/>
    <w:rsid w:val="00EE4B7C"/>
    <w:rsid w:val="00EE7F16"/>
    <w:rsid w:val="00EF23B1"/>
    <w:rsid w:val="00EF4666"/>
    <w:rsid w:val="00EF4B6B"/>
    <w:rsid w:val="00EF5197"/>
    <w:rsid w:val="00F002DF"/>
    <w:rsid w:val="00F0169F"/>
    <w:rsid w:val="00F01CEB"/>
    <w:rsid w:val="00F01DD4"/>
    <w:rsid w:val="00F02E3A"/>
    <w:rsid w:val="00F04E0D"/>
    <w:rsid w:val="00F05997"/>
    <w:rsid w:val="00F063BB"/>
    <w:rsid w:val="00F077CA"/>
    <w:rsid w:val="00F10440"/>
    <w:rsid w:val="00F10894"/>
    <w:rsid w:val="00F11B43"/>
    <w:rsid w:val="00F12740"/>
    <w:rsid w:val="00F13548"/>
    <w:rsid w:val="00F13613"/>
    <w:rsid w:val="00F14DF8"/>
    <w:rsid w:val="00F15191"/>
    <w:rsid w:val="00F2050C"/>
    <w:rsid w:val="00F228CE"/>
    <w:rsid w:val="00F2364D"/>
    <w:rsid w:val="00F27746"/>
    <w:rsid w:val="00F3019D"/>
    <w:rsid w:val="00F30EDC"/>
    <w:rsid w:val="00F31379"/>
    <w:rsid w:val="00F31695"/>
    <w:rsid w:val="00F32219"/>
    <w:rsid w:val="00F330E4"/>
    <w:rsid w:val="00F358D0"/>
    <w:rsid w:val="00F35B3C"/>
    <w:rsid w:val="00F40C43"/>
    <w:rsid w:val="00F434BF"/>
    <w:rsid w:val="00F43CF5"/>
    <w:rsid w:val="00F46D88"/>
    <w:rsid w:val="00F511BD"/>
    <w:rsid w:val="00F5231F"/>
    <w:rsid w:val="00F523C3"/>
    <w:rsid w:val="00F56425"/>
    <w:rsid w:val="00F56637"/>
    <w:rsid w:val="00F60761"/>
    <w:rsid w:val="00F60D8B"/>
    <w:rsid w:val="00F60D9C"/>
    <w:rsid w:val="00F6345A"/>
    <w:rsid w:val="00F65546"/>
    <w:rsid w:val="00F66807"/>
    <w:rsid w:val="00F723BD"/>
    <w:rsid w:val="00F73612"/>
    <w:rsid w:val="00F7482E"/>
    <w:rsid w:val="00F76F0D"/>
    <w:rsid w:val="00F774E6"/>
    <w:rsid w:val="00F81A65"/>
    <w:rsid w:val="00F827BD"/>
    <w:rsid w:val="00F8421D"/>
    <w:rsid w:val="00F84B70"/>
    <w:rsid w:val="00F851CF"/>
    <w:rsid w:val="00F86BCF"/>
    <w:rsid w:val="00F86E68"/>
    <w:rsid w:val="00F95987"/>
    <w:rsid w:val="00F95D23"/>
    <w:rsid w:val="00F975F5"/>
    <w:rsid w:val="00FA3BBB"/>
    <w:rsid w:val="00FA5318"/>
    <w:rsid w:val="00FA5C06"/>
    <w:rsid w:val="00FA61F1"/>
    <w:rsid w:val="00FA7EAC"/>
    <w:rsid w:val="00FB1877"/>
    <w:rsid w:val="00FB4BCB"/>
    <w:rsid w:val="00FB734A"/>
    <w:rsid w:val="00FB7D59"/>
    <w:rsid w:val="00FC084E"/>
    <w:rsid w:val="00FC2E87"/>
    <w:rsid w:val="00FC4246"/>
    <w:rsid w:val="00FC5E7C"/>
    <w:rsid w:val="00FD0175"/>
    <w:rsid w:val="00FD2333"/>
    <w:rsid w:val="00FD330F"/>
    <w:rsid w:val="00FD36D4"/>
    <w:rsid w:val="00FD6335"/>
    <w:rsid w:val="00FE6646"/>
    <w:rsid w:val="00FF2D92"/>
    <w:rsid w:val="00FF2EB1"/>
    <w:rsid w:val="00FF6580"/>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ED5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19"/>
        <w:szCs w:val="18"/>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Pr>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047923"/>
    <w:pPr>
      <w:tabs>
        <w:tab w:val="center" w:pos="4819"/>
        <w:tab w:val="right" w:pos="9638"/>
      </w:tabs>
    </w:pPr>
  </w:style>
  <w:style w:type="character" w:customStyle="1" w:styleId="PidipaginaCarattere">
    <w:name w:val="Piè di pagina Carattere"/>
    <w:basedOn w:val="Carpredefinitoparagrafo"/>
    <w:link w:val="Pidipagina"/>
    <w:uiPriority w:val="99"/>
    <w:rsid w:val="00047923"/>
    <w:rPr>
      <w:lang w:eastAsia="it-IT"/>
    </w:rPr>
  </w:style>
  <w:style w:type="character" w:styleId="Numeropagina">
    <w:name w:val="page number"/>
    <w:basedOn w:val="Carpredefinitoparagrafo"/>
    <w:uiPriority w:val="99"/>
    <w:semiHidden/>
    <w:unhideWhenUsed/>
    <w:rsid w:val="00047923"/>
  </w:style>
  <w:style w:type="paragraph" w:styleId="Testonotaapidipagina">
    <w:name w:val="footnote text"/>
    <w:basedOn w:val="Normale"/>
    <w:link w:val="TestonotaapidipaginaCarattere"/>
    <w:uiPriority w:val="99"/>
    <w:unhideWhenUsed/>
    <w:rsid w:val="00974084"/>
    <w:rPr>
      <w:sz w:val="24"/>
      <w:szCs w:val="24"/>
    </w:rPr>
  </w:style>
  <w:style w:type="character" w:customStyle="1" w:styleId="TestonotaapidipaginaCarattere">
    <w:name w:val="Testo nota a piè di pagina Carattere"/>
    <w:basedOn w:val="Carpredefinitoparagrafo"/>
    <w:link w:val="Testonotaapidipagina"/>
    <w:uiPriority w:val="99"/>
    <w:rsid w:val="00974084"/>
    <w:rPr>
      <w:sz w:val="24"/>
      <w:szCs w:val="24"/>
      <w:lang w:eastAsia="it-IT"/>
    </w:rPr>
  </w:style>
  <w:style w:type="character" w:styleId="Rimandonotaapidipagina">
    <w:name w:val="footnote reference"/>
    <w:basedOn w:val="Carpredefinitoparagrafo"/>
    <w:uiPriority w:val="99"/>
    <w:unhideWhenUsed/>
    <w:rsid w:val="00974084"/>
    <w:rPr>
      <w:vertAlign w:val="superscript"/>
    </w:rPr>
  </w:style>
  <w:style w:type="character" w:styleId="Collegamentoipertestuale">
    <w:name w:val="Hyperlink"/>
    <w:basedOn w:val="Carpredefinitoparagrafo"/>
    <w:uiPriority w:val="99"/>
    <w:unhideWhenUsed/>
    <w:rsid w:val="003A077C"/>
    <w:rPr>
      <w:color w:val="0563C1" w:themeColor="hyperlink"/>
      <w:u w:val="single"/>
    </w:rPr>
  </w:style>
  <w:style w:type="paragraph" w:styleId="Intestazione">
    <w:name w:val="header"/>
    <w:basedOn w:val="Normale"/>
    <w:link w:val="IntestazioneCarattere"/>
    <w:uiPriority w:val="99"/>
    <w:unhideWhenUsed/>
    <w:rsid w:val="00131192"/>
    <w:pPr>
      <w:tabs>
        <w:tab w:val="center" w:pos="4819"/>
        <w:tab w:val="right" w:pos="9638"/>
      </w:tabs>
    </w:pPr>
  </w:style>
  <w:style w:type="character" w:customStyle="1" w:styleId="IntestazioneCarattere">
    <w:name w:val="Intestazione Carattere"/>
    <w:basedOn w:val="Carpredefinitoparagrafo"/>
    <w:link w:val="Intestazione"/>
    <w:uiPriority w:val="99"/>
    <w:rsid w:val="00131192"/>
    <w:rPr>
      <w:lang w:eastAsia="it-IT"/>
    </w:rPr>
  </w:style>
  <w:style w:type="character" w:styleId="Collegamentovisitato">
    <w:name w:val="FollowedHyperlink"/>
    <w:basedOn w:val="Carpredefinitoparagrafo"/>
    <w:uiPriority w:val="99"/>
    <w:semiHidden/>
    <w:unhideWhenUsed/>
    <w:rsid w:val="001D21C2"/>
    <w:rPr>
      <w:color w:val="954F72" w:themeColor="followedHyperlink"/>
      <w:u w:val="single"/>
    </w:rPr>
  </w:style>
  <w:style w:type="paragraph" w:customStyle="1" w:styleId="ti-doc-dur">
    <w:name w:val="ti-doc-dur"/>
    <w:basedOn w:val="Normale"/>
    <w:rsid w:val="0007736B"/>
    <w:pPr>
      <w:spacing w:before="100" w:beforeAutospacing="1" w:after="100" w:afterAutospacing="1"/>
    </w:pPr>
    <w:rPr>
      <w:sz w:val="24"/>
      <w:szCs w:val="24"/>
    </w:rPr>
  </w:style>
  <w:style w:type="character" w:customStyle="1" w:styleId="super">
    <w:name w:val="super"/>
    <w:basedOn w:val="Carpredefinitoparagrafo"/>
    <w:rsid w:val="0007736B"/>
  </w:style>
  <w:style w:type="character" w:styleId="Rimandocommento">
    <w:name w:val="annotation reference"/>
    <w:basedOn w:val="Carpredefinitoparagrafo"/>
    <w:uiPriority w:val="99"/>
    <w:semiHidden/>
    <w:unhideWhenUsed/>
    <w:rsid w:val="004636BF"/>
    <w:rPr>
      <w:sz w:val="16"/>
      <w:szCs w:val="16"/>
    </w:rPr>
  </w:style>
  <w:style w:type="paragraph" w:styleId="Testocommento">
    <w:name w:val="annotation text"/>
    <w:basedOn w:val="Normale"/>
    <w:link w:val="TestocommentoCarattere"/>
    <w:uiPriority w:val="99"/>
    <w:semiHidden/>
    <w:unhideWhenUsed/>
    <w:rsid w:val="004636BF"/>
    <w:rPr>
      <w:sz w:val="20"/>
      <w:szCs w:val="20"/>
    </w:rPr>
  </w:style>
  <w:style w:type="character" w:customStyle="1" w:styleId="TestocommentoCarattere">
    <w:name w:val="Testo commento Carattere"/>
    <w:basedOn w:val="Carpredefinitoparagrafo"/>
    <w:link w:val="Testocommento"/>
    <w:uiPriority w:val="99"/>
    <w:semiHidden/>
    <w:rsid w:val="004636BF"/>
    <w:rPr>
      <w:sz w:val="20"/>
      <w:szCs w:val="20"/>
      <w:lang w:eastAsia="it-IT"/>
    </w:rPr>
  </w:style>
  <w:style w:type="paragraph" w:styleId="Soggettocommento">
    <w:name w:val="annotation subject"/>
    <w:basedOn w:val="Testocommento"/>
    <w:next w:val="Testocommento"/>
    <w:link w:val="SoggettocommentoCarattere"/>
    <w:uiPriority w:val="99"/>
    <w:semiHidden/>
    <w:unhideWhenUsed/>
    <w:rsid w:val="004636BF"/>
    <w:rPr>
      <w:b/>
      <w:bCs/>
    </w:rPr>
  </w:style>
  <w:style w:type="character" w:customStyle="1" w:styleId="SoggettocommentoCarattere">
    <w:name w:val="Soggetto commento Carattere"/>
    <w:basedOn w:val="TestocommentoCarattere"/>
    <w:link w:val="Soggettocommento"/>
    <w:uiPriority w:val="99"/>
    <w:semiHidden/>
    <w:rsid w:val="004636BF"/>
    <w:rPr>
      <w:b/>
      <w:bCs/>
      <w:sz w:val="20"/>
      <w:szCs w:val="20"/>
      <w:lang w:eastAsia="it-IT"/>
    </w:rPr>
  </w:style>
  <w:style w:type="paragraph" w:styleId="Testofumetto">
    <w:name w:val="Balloon Text"/>
    <w:basedOn w:val="Normale"/>
    <w:link w:val="TestofumettoCarattere"/>
    <w:uiPriority w:val="99"/>
    <w:semiHidden/>
    <w:unhideWhenUsed/>
    <w:rsid w:val="004636BF"/>
    <w:rPr>
      <w:rFonts w:ascii="Segoe UI" w:hAnsi="Segoe UI" w:cs="Segoe UI"/>
      <w:sz w:val="18"/>
    </w:rPr>
  </w:style>
  <w:style w:type="character" w:customStyle="1" w:styleId="TestofumettoCarattere">
    <w:name w:val="Testo fumetto Carattere"/>
    <w:basedOn w:val="Carpredefinitoparagrafo"/>
    <w:link w:val="Testofumetto"/>
    <w:uiPriority w:val="99"/>
    <w:semiHidden/>
    <w:rsid w:val="004636BF"/>
    <w:rPr>
      <w:rFonts w:ascii="Segoe UI" w:hAnsi="Segoe UI" w:cs="Segoe UI"/>
      <w:sz w:val="18"/>
      <w:lang w:eastAsia="it-IT"/>
    </w:rPr>
  </w:style>
  <w:style w:type="paragraph" w:styleId="Mappadocumento">
    <w:name w:val="Document Map"/>
    <w:basedOn w:val="Normale"/>
    <w:link w:val="MappadocumentoCarattere"/>
    <w:uiPriority w:val="99"/>
    <w:semiHidden/>
    <w:unhideWhenUsed/>
    <w:rsid w:val="00181668"/>
    <w:rPr>
      <w:sz w:val="24"/>
      <w:szCs w:val="24"/>
    </w:rPr>
  </w:style>
  <w:style w:type="character" w:customStyle="1" w:styleId="MappadocumentoCarattere">
    <w:name w:val="Mappa documento Carattere"/>
    <w:basedOn w:val="Carpredefinitoparagrafo"/>
    <w:link w:val="Mappadocumento"/>
    <w:uiPriority w:val="99"/>
    <w:semiHidden/>
    <w:rsid w:val="00181668"/>
    <w:rPr>
      <w:sz w:val="24"/>
      <w:szCs w:val="24"/>
      <w:lang w:eastAsia="it-IT"/>
    </w:rPr>
  </w:style>
  <w:style w:type="paragraph" w:styleId="Revisione">
    <w:name w:val="Revision"/>
    <w:hidden/>
    <w:uiPriority w:val="99"/>
    <w:semiHidden/>
    <w:rsid w:val="00181668"/>
    <w:rPr>
      <w:lang w:eastAsia="it-IT"/>
    </w:rPr>
  </w:style>
  <w:style w:type="paragraph" w:styleId="Paragrafoelenco">
    <w:name w:val="List Paragraph"/>
    <w:basedOn w:val="Normale"/>
    <w:uiPriority w:val="34"/>
    <w:qFormat/>
    <w:rsid w:val="00503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7854">
      <w:bodyDiv w:val="1"/>
      <w:marLeft w:val="0"/>
      <w:marRight w:val="0"/>
      <w:marTop w:val="0"/>
      <w:marBottom w:val="0"/>
      <w:divBdr>
        <w:top w:val="none" w:sz="0" w:space="0" w:color="auto"/>
        <w:left w:val="none" w:sz="0" w:space="0" w:color="auto"/>
        <w:bottom w:val="none" w:sz="0" w:space="0" w:color="auto"/>
        <w:right w:val="none" w:sz="0" w:space="0" w:color="auto"/>
      </w:divBdr>
    </w:div>
    <w:div w:id="23286321">
      <w:bodyDiv w:val="1"/>
      <w:marLeft w:val="0"/>
      <w:marRight w:val="0"/>
      <w:marTop w:val="0"/>
      <w:marBottom w:val="0"/>
      <w:divBdr>
        <w:top w:val="none" w:sz="0" w:space="0" w:color="auto"/>
        <w:left w:val="none" w:sz="0" w:space="0" w:color="auto"/>
        <w:bottom w:val="none" w:sz="0" w:space="0" w:color="auto"/>
        <w:right w:val="none" w:sz="0" w:space="0" w:color="auto"/>
      </w:divBdr>
    </w:div>
    <w:div w:id="28578254">
      <w:bodyDiv w:val="1"/>
      <w:marLeft w:val="0"/>
      <w:marRight w:val="0"/>
      <w:marTop w:val="0"/>
      <w:marBottom w:val="0"/>
      <w:divBdr>
        <w:top w:val="none" w:sz="0" w:space="0" w:color="auto"/>
        <w:left w:val="none" w:sz="0" w:space="0" w:color="auto"/>
        <w:bottom w:val="none" w:sz="0" w:space="0" w:color="auto"/>
        <w:right w:val="none" w:sz="0" w:space="0" w:color="auto"/>
      </w:divBdr>
    </w:div>
    <w:div w:id="33816961">
      <w:bodyDiv w:val="1"/>
      <w:marLeft w:val="0"/>
      <w:marRight w:val="0"/>
      <w:marTop w:val="0"/>
      <w:marBottom w:val="0"/>
      <w:divBdr>
        <w:top w:val="none" w:sz="0" w:space="0" w:color="auto"/>
        <w:left w:val="none" w:sz="0" w:space="0" w:color="auto"/>
        <w:bottom w:val="none" w:sz="0" w:space="0" w:color="auto"/>
        <w:right w:val="none" w:sz="0" w:space="0" w:color="auto"/>
      </w:divBdr>
    </w:div>
    <w:div w:id="39794534">
      <w:bodyDiv w:val="1"/>
      <w:marLeft w:val="0"/>
      <w:marRight w:val="0"/>
      <w:marTop w:val="0"/>
      <w:marBottom w:val="0"/>
      <w:divBdr>
        <w:top w:val="none" w:sz="0" w:space="0" w:color="auto"/>
        <w:left w:val="none" w:sz="0" w:space="0" w:color="auto"/>
        <w:bottom w:val="none" w:sz="0" w:space="0" w:color="auto"/>
        <w:right w:val="none" w:sz="0" w:space="0" w:color="auto"/>
      </w:divBdr>
    </w:div>
    <w:div w:id="45422482">
      <w:bodyDiv w:val="1"/>
      <w:marLeft w:val="0"/>
      <w:marRight w:val="0"/>
      <w:marTop w:val="0"/>
      <w:marBottom w:val="0"/>
      <w:divBdr>
        <w:top w:val="none" w:sz="0" w:space="0" w:color="auto"/>
        <w:left w:val="none" w:sz="0" w:space="0" w:color="auto"/>
        <w:bottom w:val="none" w:sz="0" w:space="0" w:color="auto"/>
        <w:right w:val="none" w:sz="0" w:space="0" w:color="auto"/>
      </w:divBdr>
    </w:div>
    <w:div w:id="64911915">
      <w:bodyDiv w:val="1"/>
      <w:marLeft w:val="0"/>
      <w:marRight w:val="0"/>
      <w:marTop w:val="0"/>
      <w:marBottom w:val="0"/>
      <w:divBdr>
        <w:top w:val="none" w:sz="0" w:space="0" w:color="auto"/>
        <w:left w:val="none" w:sz="0" w:space="0" w:color="auto"/>
        <w:bottom w:val="none" w:sz="0" w:space="0" w:color="auto"/>
        <w:right w:val="none" w:sz="0" w:space="0" w:color="auto"/>
      </w:divBdr>
    </w:div>
    <w:div w:id="66000850">
      <w:bodyDiv w:val="1"/>
      <w:marLeft w:val="0"/>
      <w:marRight w:val="0"/>
      <w:marTop w:val="0"/>
      <w:marBottom w:val="0"/>
      <w:divBdr>
        <w:top w:val="none" w:sz="0" w:space="0" w:color="auto"/>
        <w:left w:val="none" w:sz="0" w:space="0" w:color="auto"/>
        <w:bottom w:val="none" w:sz="0" w:space="0" w:color="auto"/>
        <w:right w:val="none" w:sz="0" w:space="0" w:color="auto"/>
      </w:divBdr>
    </w:div>
    <w:div w:id="88545703">
      <w:bodyDiv w:val="1"/>
      <w:marLeft w:val="0"/>
      <w:marRight w:val="0"/>
      <w:marTop w:val="0"/>
      <w:marBottom w:val="0"/>
      <w:divBdr>
        <w:top w:val="none" w:sz="0" w:space="0" w:color="auto"/>
        <w:left w:val="none" w:sz="0" w:space="0" w:color="auto"/>
        <w:bottom w:val="none" w:sz="0" w:space="0" w:color="auto"/>
        <w:right w:val="none" w:sz="0" w:space="0" w:color="auto"/>
      </w:divBdr>
    </w:div>
    <w:div w:id="89159839">
      <w:bodyDiv w:val="1"/>
      <w:marLeft w:val="0"/>
      <w:marRight w:val="0"/>
      <w:marTop w:val="0"/>
      <w:marBottom w:val="0"/>
      <w:divBdr>
        <w:top w:val="none" w:sz="0" w:space="0" w:color="auto"/>
        <w:left w:val="none" w:sz="0" w:space="0" w:color="auto"/>
        <w:bottom w:val="none" w:sz="0" w:space="0" w:color="auto"/>
        <w:right w:val="none" w:sz="0" w:space="0" w:color="auto"/>
      </w:divBdr>
    </w:div>
    <w:div w:id="104740744">
      <w:bodyDiv w:val="1"/>
      <w:marLeft w:val="0"/>
      <w:marRight w:val="0"/>
      <w:marTop w:val="0"/>
      <w:marBottom w:val="0"/>
      <w:divBdr>
        <w:top w:val="none" w:sz="0" w:space="0" w:color="auto"/>
        <w:left w:val="none" w:sz="0" w:space="0" w:color="auto"/>
        <w:bottom w:val="none" w:sz="0" w:space="0" w:color="auto"/>
        <w:right w:val="none" w:sz="0" w:space="0" w:color="auto"/>
      </w:divBdr>
    </w:div>
    <w:div w:id="144981462">
      <w:bodyDiv w:val="1"/>
      <w:marLeft w:val="0"/>
      <w:marRight w:val="0"/>
      <w:marTop w:val="0"/>
      <w:marBottom w:val="0"/>
      <w:divBdr>
        <w:top w:val="none" w:sz="0" w:space="0" w:color="auto"/>
        <w:left w:val="none" w:sz="0" w:space="0" w:color="auto"/>
        <w:bottom w:val="none" w:sz="0" w:space="0" w:color="auto"/>
        <w:right w:val="none" w:sz="0" w:space="0" w:color="auto"/>
      </w:divBdr>
    </w:div>
    <w:div w:id="147869047">
      <w:bodyDiv w:val="1"/>
      <w:marLeft w:val="0"/>
      <w:marRight w:val="0"/>
      <w:marTop w:val="0"/>
      <w:marBottom w:val="0"/>
      <w:divBdr>
        <w:top w:val="none" w:sz="0" w:space="0" w:color="auto"/>
        <w:left w:val="none" w:sz="0" w:space="0" w:color="auto"/>
        <w:bottom w:val="none" w:sz="0" w:space="0" w:color="auto"/>
        <w:right w:val="none" w:sz="0" w:space="0" w:color="auto"/>
      </w:divBdr>
    </w:div>
    <w:div w:id="148251630">
      <w:bodyDiv w:val="1"/>
      <w:marLeft w:val="0"/>
      <w:marRight w:val="0"/>
      <w:marTop w:val="0"/>
      <w:marBottom w:val="0"/>
      <w:divBdr>
        <w:top w:val="none" w:sz="0" w:space="0" w:color="auto"/>
        <w:left w:val="none" w:sz="0" w:space="0" w:color="auto"/>
        <w:bottom w:val="none" w:sz="0" w:space="0" w:color="auto"/>
        <w:right w:val="none" w:sz="0" w:space="0" w:color="auto"/>
      </w:divBdr>
    </w:div>
    <w:div w:id="160126324">
      <w:bodyDiv w:val="1"/>
      <w:marLeft w:val="0"/>
      <w:marRight w:val="0"/>
      <w:marTop w:val="0"/>
      <w:marBottom w:val="0"/>
      <w:divBdr>
        <w:top w:val="none" w:sz="0" w:space="0" w:color="auto"/>
        <w:left w:val="none" w:sz="0" w:space="0" w:color="auto"/>
        <w:bottom w:val="none" w:sz="0" w:space="0" w:color="auto"/>
        <w:right w:val="none" w:sz="0" w:space="0" w:color="auto"/>
      </w:divBdr>
    </w:div>
    <w:div w:id="198444204">
      <w:bodyDiv w:val="1"/>
      <w:marLeft w:val="0"/>
      <w:marRight w:val="0"/>
      <w:marTop w:val="0"/>
      <w:marBottom w:val="0"/>
      <w:divBdr>
        <w:top w:val="none" w:sz="0" w:space="0" w:color="auto"/>
        <w:left w:val="none" w:sz="0" w:space="0" w:color="auto"/>
        <w:bottom w:val="none" w:sz="0" w:space="0" w:color="auto"/>
        <w:right w:val="none" w:sz="0" w:space="0" w:color="auto"/>
      </w:divBdr>
    </w:div>
    <w:div w:id="210269642">
      <w:bodyDiv w:val="1"/>
      <w:marLeft w:val="0"/>
      <w:marRight w:val="0"/>
      <w:marTop w:val="0"/>
      <w:marBottom w:val="0"/>
      <w:divBdr>
        <w:top w:val="none" w:sz="0" w:space="0" w:color="auto"/>
        <w:left w:val="none" w:sz="0" w:space="0" w:color="auto"/>
        <w:bottom w:val="none" w:sz="0" w:space="0" w:color="auto"/>
        <w:right w:val="none" w:sz="0" w:space="0" w:color="auto"/>
      </w:divBdr>
    </w:div>
    <w:div w:id="222715288">
      <w:bodyDiv w:val="1"/>
      <w:marLeft w:val="0"/>
      <w:marRight w:val="0"/>
      <w:marTop w:val="0"/>
      <w:marBottom w:val="0"/>
      <w:divBdr>
        <w:top w:val="none" w:sz="0" w:space="0" w:color="auto"/>
        <w:left w:val="none" w:sz="0" w:space="0" w:color="auto"/>
        <w:bottom w:val="none" w:sz="0" w:space="0" w:color="auto"/>
        <w:right w:val="none" w:sz="0" w:space="0" w:color="auto"/>
      </w:divBdr>
    </w:div>
    <w:div w:id="238515079">
      <w:bodyDiv w:val="1"/>
      <w:marLeft w:val="0"/>
      <w:marRight w:val="0"/>
      <w:marTop w:val="0"/>
      <w:marBottom w:val="0"/>
      <w:divBdr>
        <w:top w:val="none" w:sz="0" w:space="0" w:color="auto"/>
        <w:left w:val="none" w:sz="0" w:space="0" w:color="auto"/>
        <w:bottom w:val="none" w:sz="0" w:space="0" w:color="auto"/>
        <w:right w:val="none" w:sz="0" w:space="0" w:color="auto"/>
      </w:divBdr>
    </w:div>
    <w:div w:id="247010210">
      <w:bodyDiv w:val="1"/>
      <w:marLeft w:val="0"/>
      <w:marRight w:val="0"/>
      <w:marTop w:val="0"/>
      <w:marBottom w:val="0"/>
      <w:divBdr>
        <w:top w:val="none" w:sz="0" w:space="0" w:color="auto"/>
        <w:left w:val="none" w:sz="0" w:space="0" w:color="auto"/>
        <w:bottom w:val="none" w:sz="0" w:space="0" w:color="auto"/>
        <w:right w:val="none" w:sz="0" w:space="0" w:color="auto"/>
      </w:divBdr>
    </w:div>
    <w:div w:id="253561400">
      <w:bodyDiv w:val="1"/>
      <w:marLeft w:val="0"/>
      <w:marRight w:val="0"/>
      <w:marTop w:val="0"/>
      <w:marBottom w:val="0"/>
      <w:divBdr>
        <w:top w:val="none" w:sz="0" w:space="0" w:color="auto"/>
        <w:left w:val="none" w:sz="0" w:space="0" w:color="auto"/>
        <w:bottom w:val="none" w:sz="0" w:space="0" w:color="auto"/>
        <w:right w:val="none" w:sz="0" w:space="0" w:color="auto"/>
      </w:divBdr>
    </w:div>
    <w:div w:id="254285037">
      <w:bodyDiv w:val="1"/>
      <w:marLeft w:val="0"/>
      <w:marRight w:val="0"/>
      <w:marTop w:val="0"/>
      <w:marBottom w:val="0"/>
      <w:divBdr>
        <w:top w:val="none" w:sz="0" w:space="0" w:color="auto"/>
        <w:left w:val="none" w:sz="0" w:space="0" w:color="auto"/>
        <w:bottom w:val="none" w:sz="0" w:space="0" w:color="auto"/>
        <w:right w:val="none" w:sz="0" w:space="0" w:color="auto"/>
      </w:divBdr>
    </w:div>
    <w:div w:id="260184147">
      <w:bodyDiv w:val="1"/>
      <w:marLeft w:val="0"/>
      <w:marRight w:val="0"/>
      <w:marTop w:val="0"/>
      <w:marBottom w:val="0"/>
      <w:divBdr>
        <w:top w:val="none" w:sz="0" w:space="0" w:color="auto"/>
        <w:left w:val="none" w:sz="0" w:space="0" w:color="auto"/>
        <w:bottom w:val="none" w:sz="0" w:space="0" w:color="auto"/>
        <w:right w:val="none" w:sz="0" w:space="0" w:color="auto"/>
      </w:divBdr>
    </w:div>
    <w:div w:id="307248319">
      <w:bodyDiv w:val="1"/>
      <w:marLeft w:val="0"/>
      <w:marRight w:val="0"/>
      <w:marTop w:val="0"/>
      <w:marBottom w:val="0"/>
      <w:divBdr>
        <w:top w:val="none" w:sz="0" w:space="0" w:color="auto"/>
        <w:left w:val="none" w:sz="0" w:space="0" w:color="auto"/>
        <w:bottom w:val="none" w:sz="0" w:space="0" w:color="auto"/>
        <w:right w:val="none" w:sz="0" w:space="0" w:color="auto"/>
      </w:divBdr>
    </w:div>
    <w:div w:id="314528365">
      <w:bodyDiv w:val="1"/>
      <w:marLeft w:val="0"/>
      <w:marRight w:val="0"/>
      <w:marTop w:val="0"/>
      <w:marBottom w:val="0"/>
      <w:divBdr>
        <w:top w:val="none" w:sz="0" w:space="0" w:color="auto"/>
        <w:left w:val="none" w:sz="0" w:space="0" w:color="auto"/>
        <w:bottom w:val="none" w:sz="0" w:space="0" w:color="auto"/>
        <w:right w:val="none" w:sz="0" w:space="0" w:color="auto"/>
      </w:divBdr>
    </w:div>
    <w:div w:id="318509848">
      <w:bodyDiv w:val="1"/>
      <w:marLeft w:val="0"/>
      <w:marRight w:val="0"/>
      <w:marTop w:val="0"/>
      <w:marBottom w:val="0"/>
      <w:divBdr>
        <w:top w:val="none" w:sz="0" w:space="0" w:color="auto"/>
        <w:left w:val="none" w:sz="0" w:space="0" w:color="auto"/>
        <w:bottom w:val="none" w:sz="0" w:space="0" w:color="auto"/>
        <w:right w:val="none" w:sz="0" w:space="0" w:color="auto"/>
      </w:divBdr>
    </w:div>
    <w:div w:id="332879365">
      <w:bodyDiv w:val="1"/>
      <w:marLeft w:val="0"/>
      <w:marRight w:val="0"/>
      <w:marTop w:val="0"/>
      <w:marBottom w:val="0"/>
      <w:divBdr>
        <w:top w:val="none" w:sz="0" w:space="0" w:color="auto"/>
        <w:left w:val="none" w:sz="0" w:space="0" w:color="auto"/>
        <w:bottom w:val="none" w:sz="0" w:space="0" w:color="auto"/>
        <w:right w:val="none" w:sz="0" w:space="0" w:color="auto"/>
      </w:divBdr>
    </w:div>
    <w:div w:id="343243234">
      <w:bodyDiv w:val="1"/>
      <w:marLeft w:val="0"/>
      <w:marRight w:val="0"/>
      <w:marTop w:val="0"/>
      <w:marBottom w:val="0"/>
      <w:divBdr>
        <w:top w:val="none" w:sz="0" w:space="0" w:color="auto"/>
        <w:left w:val="none" w:sz="0" w:space="0" w:color="auto"/>
        <w:bottom w:val="none" w:sz="0" w:space="0" w:color="auto"/>
        <w:right w:val="none" w:sz="0" w:space="0" w:color="auto"/>
      </w:divBdr>
    </w:div>
    <w:div w:id="379865648">
      <w:bodyDiv w:val="1"/>
      <w:marLeft w:val="0"/>
      <w:marRight w:val="0"/>
      <w:marTop w:val="0"/>
      <w:marBottom w:val="0"/>
      <w:divBdr>
        <w:top w:val="none" w:sz="0" w:space="0" w:color="auto"/>
        <w:left w:val="none" w:sz="0" w:space="0" w:color="auto"/>
        <w:bottom w:val="none" w:sz="0" w:space="0" w:color="auto"/>
        <w:right w:val="none" w:sz="0" w:space="0" w:color="auto"/>
      </w:divBdr>
    </w:div>
    <w:div w:id="390006602">
      <w:bodyDiv w:val="1"/>
      <w:marLeft w:val="0"/>
      <w:marRight w:val="0"/>
      <w:marTop w:val="0"/>
      <w:marBottom w:val="0"/>
      <w:divBdr>
        <w:top w:val="none" w:sz="0" w:space="0" w:color="auto"/>
        <w:left w:val="none" w:sz="0" w:space="0" w:color="auto"/>
        <w:bottom w:val="none" w:sz="0" w:space="0" w:color="auto"/>
        <w:right w:val="none" w:sz="0" w:space="0" w:color="auto"/>
      </w:divBdr>
    </w:div>
    <w:div w:id="409814131">
      <w:bodyDiv w:val="1"/>
      <w:marLeft w:val="0"/>
      <w:marRight w:val="0"/>
      <w:marTop w:val="0"/>
      <w:marBottom w:val="0"/>
      <w:divBdr>
        <w:top w:val="none" w:sz="0" w:space="0" w:color="auto"/>
        <w:left w:val="none" w:sz="0" w:space="0" w:color="auto"/>
        <w:bottom w:val="none" w:sz="0" w:space="0" w:color="auto"/>
        <w:right w:val="none" w:sz="0" w:space="0" w:color="auto"/>
      </w:divBdr>
    </w:div>
    <w:div w:id="412244168">
      <w:bodyDiv w:val="1"/>
      <w:marLeft w:val="0"/>
      <w:marRight w:val="0"/>
      <w:marTop w:val="0"/>
      <w:marBottom w:val="0"/>
      <w:divBdr>
        <w:top w:val="none" w:sz="0" w:space="0" w:color="auto"/>
        <w:left w:val="none" w:sz="0" w:space="0" w:color="auto"/>
        <w:bottom w:val="none" w:sz="0" w:space="0" w:color="auto"/>
        <w:right w:val="none" w:sz="0" w:space="0" w:color="auto"/>
      </w:divBdr>
    </w:div>
    <w:div w:id="420026077">
      <w:bodyDiv w:val="1"/>
      <w:marLeft w:val="0"/>
      <w:marRight w:val="0"/>
      <w:marTop w:val="0"/>
      <w:marBottom w:val="0"/>
      <w:divBdr>
        <w:top w:val="none" w:sz="0" w:space="0" w:color="auto"/>
        <w:left w:val="none" w:sz="0" w:space="0" w:color="auto"/>
        <w:bottom w:val="none" w:sz="0" w:space="0" w:color="auto"/>
        <w:right w:val="none" w:sz="0" w:space="0" w:color="auto"/>
      </w:divBdr>
    </w:div>
    <w:div w:id="463162944">
      <w:bodyDiv w:val="1"/>
      <w:marLeft w:val="0"/>
      <w:marRight w:val="0"/>
      <w:marTop w:val="0"/>
      <w:marBottom w:val="0"/>
      <w:divBdr>
        <w:top w:val="none" w:sz="0" w:space="0" w:color="auto"/>
        <w:left w:val="none" w:sz="0" w:space="0" w:color="auto"/>
        <w:bottom w:val="none" w:sz="0" w:space="0" w:color="auto"/>
        <w:right w:val="none" w:sz="0" w:space="0" w:color="auto"/>
      </w:divBdr>
    </w:div>
    <w:div w:id="507451696">
      <w:bodyDiv w:val="1"/>
      <w:marLeft w:val="0"/>
      <w:marRight w:val="0"/>
      <w:marTop w:val="0"/>
      <w:marBottom w:val="0"/>
      <w:divBdr>
        <w:top w:val="none" w:sz="0" w:space="0" w:color="auto"/>
        <w:left w:val="none" w:sz="0" w:space="0" w:color="auto"/>
        <w:bottom w:val="none" w:sz="0" w:space="0" w:color="auto"/>
        <w:right w:val="none" w:sz="0" w:space="0" w:color="auto"/>
      </w:divBdr>
    </w:div>
    <w:div w:id="518201450">
      <w:bodyDiv w:val="1"/>
      <w:marLeft w:val="0"/>
      <w:marRight w:val="0"/>
      <w:marTop w:val="0"/>
      <w:marBottom w:val="0"/>
      <w:divBdr>
        <w:top w:val="none" w:sz="0" w:space="0" w:color="auto"/>
        <w:left w:val="none" w:sz="0" w:space="0" w:color="auto"/>
        <w:bottom w:val="none" w:sz="0" w:space="0" w:color="auto"/>
        <w:right w:val="none" w:sz="0" w:space="0" w:color="auto"/>
      </w:divBdr>
    </w:div>
    <w:div w:id="521864614">
      <w:bodyDiv w:val="1"/>
      <w:marLeft w:val="0"/>
      <w:marRight w:val="0"/>
      <w:marTop w:val="0"/>
      <w:marBottom w:val="0"/>
      <w:divBdr>
        <w:top w:val="none" w:sz="0" w:space="0" w:color="auto"/>
        <w:left w:val="none" w:sz="0" w:space="0" w:color="auto"/>
        <w:bottom w:val="none" w:sz="0" w:space="0" w:color="auto"/>
        <w:right w:val="none" w:sz="0" w:space="0" w:color="auto"/>
      </w:divBdr>
    </w:div>
    <w:div w:id="536624841">
      <w:bodyDiv w:val="1"/>
      <w:marLeft w:val="0"/>
      <w:marRight w:val="0"/>
      <w:marTop w:val="0"/>
      <w:marBottom w:val="0"/>
      <w:divBdr>
        <w:top w:val="none" w:sz="0" w:space="0" w:color="auto"/>
        <w:left w:val="none" w:sz="0" w:space="0" w:color="auto"/>
        <w:bottom w:val="none" w:sz="0" w:space="0" w:color="auto"/>
        <w:right w:val="none" w:sz="0" w:space="0" w:color="auto"/>
      </w:divBdr>
    </w:div>
    <w:div w:id="537401089">
      <w:bodyDiv w:val="1"/>
      <w:marLeft w:val="0"/>
      <w:marRight w:val="0"/>
      <w:marTop w:val="0"/>
      <w:marBottom w:val="0"/>
      <w:divBdr>
        <w:top w:val="none" w:sz="0" w:space="0" w:color="auto"/>
        <w:left w:val="none" w:sz="0" w:space="0" w:color="auto"/>
        <w:bottom w:val="none" w:sz="0" w:space="0" w:color="auto"/>
        <w:right w:val="none" w:sz="0" w:space="0" w:color="auto"/>
      </w:divBdr>
    </w:div>
    <w:div w:id="566888746">
      <w:bodyDiv w:val="1"/>
      <w:marLeft w:val="0"/>
      <w:marRight w:val="0"/>
      <w:marTop w:val="0"/>
      <w:marBottom w:val="0"/>
      <w:divBdr>
        <w:top w:val="none" w:sz="0" w:space="0" w:color="auto"/>
        <w:left w:val="none" w:sz="0" w:space="0" w:color="auto"/>
        <w:bottom w:val="none" w:sz="0" w:space="0" w:color="auto"/>
        <w:right w:val="none" w:sz="0" w:space="0" w:color="auto"/>
      </w:divBdr>
    </w:div>
    <w:div w:id="570702937">
      <w:bodyDiv w:val="1"/>
      <w:marLeft w:val="0"/>
      <w:marRight w:val="0"/>
      <w:marTop w:val="0"/>
      <w:marBottom w:val="0"/>
      <w:divBdr>
        <w:top w:val="none" w:sz="0" w:space="0" w:color="auto"/>
        <w:left w:val="none" w:sz="0" w:space="0" w:color="auto"/>
        <w:bottom w:val="none" w:sz="0" w:space="0" w:color="auto"/>
        <w:right w:val="none" w:sz="0" w:space="0" w:color="auto"/>
      </w:divBdr>
    </w:div>
    <w:div w:id="572159166">
      <w:bodyDiv w:val="1"/>
      <w:marLeft w:val="0"/>
      <w:marRight w:val="0"/>
      <w:marTop w:val="0"/>
      <w:marBottom w:val="0"/>
      <w:divBdr>
        <w:top w:val="none" w:sz="0" w:space="0" w:color="auto"/>
        <w:left w:val="none" w:sz="0" w:space="0" w:color="auto"/>
        <w:bottom w:val="none" w:sz="0" w:space="0" w:color="auto"/>
        <w:right w:val="none" w:sz="0" w:space="0" w:color="auto"/>
      </w:divBdr>
    </w:div>
    <w:div w:id="587733372">
      <w:bodyDiv w:val="1"/>
      <w:marLeft w:val="0"/>
      <w:marRight w:val="0"/>
      <w:marTop w:val="0"/>
      <w:marBottom w:val="0"/>
      <w:divBdr>
        <w:top w:val="none" w:sz="0" w:space="0" w:color="auto"/>
        <w:left w:val="none" w:sz="0" w:space="0" w:color="auto"/>
        <w:bottom w:val="none" w:sz="0" w:space="0" w:color="auto"/>
        <w:right w:val="none" w:sz="0" w:space="0" w:color="auto"/>
      </w:divBdr>
    </w:div>
    <w:div w:id="593516726">
      <w:bodyDiv w:val="1"/>
      <w:marLeft w:val="0"/>
      <w:marRight w:val="0"/>
      <w:marTop w:val="0"/>
      <w:marBottom w:val="0"/>
      <w:divBdr>
        <w:top w:val="none" w:sz="0" w:space="0" w:color="auto"/>
        <w:left w:val="none" w:sz="0" w:space="0" w:color="auto"/>
        <w:bottom w:val="none" w:sz="0" w:space="0" w:color="auto"/>
        <w:right w:val="none" w:sz="0" w:space="0" w:color="auto"/>
      </w:divBdr>
    </w:div>
    <w:div w:id="600574896">
      <w:bodyDiv w:val="1"/>
      <w:marLeft w:val="0"/>
      <w:marRight w:val="0"/>
      <w:marTop w:val="0"/>
      <w:marBottom w:val="0"/>
      <w:divBdr>
        <w:top w:val="none" w:sz="0" w:space="0" w:color="auto"/>
        <w:left w:val="none" w:sz="0" w:space="0" w:color="auto"/>
        <w:bottom w:val="none" w:sz="0" w:space="0" w:color="auto"/>
        <w:right w:val="none" w:sz="0" w:space="0" w:color="auto"/>
      </w:divBdr>
    </w:div>
    <w:div w:id="610550125">
      <w:bodyDiv w:val="1"/>
      <w:marLeft w:val="0"/>
      <w:marRight w:val="0"/>
      <w:marTop w:val="0"/>
      <w:marBottom w:val="0"/>
      <w:divBdr>
        <w:top w:val="none" w:sz="0" w:space="0" w:color="auto"/>
        <w:left w:val="none" w:sz="0" w:space="0" w:color="auto"/>
        <w:bottom w:val="none" w:sz="0" w:space="0" w:color="auto"/>
        <w:right w:val="none" w:sz="0" w:space="0" w:color="auto"/>
      </w:divBdr>
    </w:div>
    <w:div w:id="615722561">
      <w:bodyDiv w:val="1"/>
      <w:marLeft w:val="0"/>
      <w:marRight w:val="0"/>
      <w:marTop w:val="0"/>
      <w:marBottom w:val="0"/>
      <w:divBdr>
        <w:top w:val="none" w:sz="0" w:space="0" w:color="auto"/>
        <w:left w:val="none" w:sz="0" w:space="0" w:color="auto"/>
        <w:bottom w:val="none" w:sz="0" w:space="0" w:color="auto"/>
        <w:right w:val="none" w:sz="0" w:space="0" w:color="auto"/>
      </w:divBdr>
    </w:div>
    <w:div w:id="616135291">
      <w:bodyDiv w:val="1"/>
      <w:marLeft w:val="0"/>
      <w:marRight w:val="0"/>
      <w:marTop w:val="0"/>
      <w:marBottom w:val="0"/>
      <w:divBdr>
        <w:top w:val="none" w:sz="0" w:space="0" w:color="auto"/>
        <w:left w:val="none" w:sz="0" w:space="0" w:color="auto"/>
        <w:bottom w:val="none" w:sz="0" w:space="0" w:color="auto"/>
        <w:right w:val="none" w:sz="0" w:space="0" w:color="auto"/>
      </w:divBdr>
    </w:div>
    <w:div w:id="618756927">
      <w:bodyDiv w:val="1"/>
      <w:marLeft w:val="0"/>
      <w:marRight w:val="0"/>
      <w:marTop w:val="0"/>
      <w:marBottom w:val="0"/>
      <w:divBdr>
        <w:top w:val="none" w:sz="0" w:space="0" w:color="auto"/>
        <w:left w:val="none" w:sz="0" w:space="0" w:color="auto"/>
        <w:bottom w:val="none" w:sz="0" w:space="0" w:color="auto"/>
        <w:right w:val="none" w:sz="0" w:space="0" w:color="auto"/>
      </w:divBdr>
    </w:div>
    <w:div w:id="645597481">
      <w:bodyDiv w:val="1"/>
      <w:marLeft w:val="0"/>
      <w:marRight w:val="0"/>
      <w:marTop w:val="0"/>
      <w:marBottom w:val="0"/>
      <w:divBdr>
        <w:top w:val="none" w:sz="0" w:space="0" w:color="auto"/>
        <w:left w:val="none" w:sz="0" w:space="0" w:color="auto"/>
        <w:bottom w:val="none" w:sz="0" w:space="0" w:color="auto"/>
        <w:right w:val="none" w:sz="0" w:space="0" w:color="auto"/>
      </w:divBdr>
    </w:div>
    <w:div w:id="656693717">
      <w:bodyDiv w:val="1"/>
      <w:marLeft w:val="0"/>
      <w:marRight w:val="0"/>
      <w:marTop w:val="0"/>
      <w:marBottom w:val="0"/>
      <w:divBdr>
        <w:top w:val="none" w:sz="0" w:space="0" w:color="auto"/>
        <w:left w:val="none" w:sz="0" w:space="0" w:color="auto"/>
        <w:bottom w:val="none" w:sz="0" w:space="0" w:color="auto"/>
        <w:right w:val="none" w:sz="0" w:space="0" w:color="auto"/>
      </w:divBdr>
    </w:div>
    <w:div w:id="679745157">
      <w:bodyDiv w:val="1"/>
      <w:marLeft w:val="0"/>
      <w:marRight w:val="0"/>
      <w:marTop w:val="0"/>
      <w:marBottom w:val="0"/>
      <w:divBdr>
        <w:top w:val="none" w:sz="0" w:space="0" w:color="auto"/>
        <w:left w:val="none" w:sz="0" w:space="0" w:color="auto"/>
        <w:bottom w:val="none" w:sz="0" w:space="0" w:color="auto"/>
        <w:right w:val="none" w:sz="0" w:space="0" w:color="auto"/>
      </w:divBdr>
    </w:div>
    <w:div w:id="681397523">
      <w:bodyDiv w:val="1"/>
      <w:marLeft w:val="0"/>
      <w:marRight w:val="0"/>
      <w:marTop w:val="0"/>
      <w:marBottom w:val="0"/>
      <w:divBdr>
        <w:top w:val="none" w:sz="0" w:space="0" w:color="auto"/>
        <w:left w:val="none" w:sz="0" w:space="0" w:color="auto"/>
        <w:bottom w:val="none" w:sz="0" w:space="0" w:color="auto"/>
        <w:right w:val="none" w:sz="0" w:space="0" w:color="auto"/>
      </w:divBdr>
    </w:div>
    <w:div w:id="717123581">
      <w:bodyDiv w:val="1"/>
      <w:marLeft w:val="0"/>
      <w:marRight w:val="0"/>
      <w:marTop w:val="0"/>
      <w:marBottom w:val="0"/>
      <w:divBdr>
        <w:top w:val="none" w:sz="0" w:space="0" w:color="auto"/>
        <w:left w:val="none" w:sz="0" w:space="0" w:color="auto"/>
        <w:bottom w:val="none" w:sz="0" w:space="0" w:color="auto"/>
        <w:right w:val="none" w:sz="0" w:space="0" w:color="auto"/>
      </w:divBdr>
    </w:div>
    <w:div w:id="722601801">
      <w:bodyDiv w:val="1"/>
      <w:marLeft w:val="0"/>
      <w:marRight w:val="0"/>
      <w:marTop w:val="0"/>
      <w:marBottom w:val="0"/>
      <w:divBdr>
        <w:top w:val="none" w:sz="0" w:space="0" w:color="auto"/>
        <w:left w:val="none" w:sz="0" w:space="0" w:color="auto"/>
        <w:bottom w:val="none" w:sz="0" w:space="0" w:color="auto"/>
        <w:right w:val="none" w:sz="0" w:space="0" w:color="auto"/>
      </w:divBdr>
    </w:div>
    <w:div w:id="732698007">
      <w:bodyDiv w:val="1"/>
      <w:marLeft w:val="0"/>
      <w:marRight w:val="0"/>
      <w:marTop w:val="0"/>
      <w:marBottom w:val="0"/>
      <w:divBdr>
        <w:top w:val="none" w:sz="0" w:space="0" w:color="auto"/>
        <w:left w:val="none" w:sz="0" w:space="0" w:color="auto"/>
        <w:bottom w:val="none" w:sz="0" w:space="0" w:color="auto"/>
        <w:right w:val="none" w:sz="0" w:space="0" w:color="auto"/>
      </w:divBdr>
    </w:div>
    <w:div w:id="775177293">
      <w:bodyDiv w:val="1"/>
      <w:marLeft w:val="0"/>
      <w:marRight w:val="0"/>
      <w:marTop w:val="0"/>
      <w:marBottom w:val="0"/>
      <w:divBdr>
        <w:top w:val="none" w:sz="0" w:space="0" w:color="auto"/>
        <w:left w:val="none" w:sz="0" w:space="0" w:color="auto"/>
        <w:bottom w:val="none" w:sz="0" w:space="0" w:color="auto"/>
        <w:right w:val="none" w:sz="0" w:space="0" w:color="auto"/>
      </w:divBdr>
    </w:div>
    <w:div w:id="851455190">
      <w:bodyDiv w:val="1"/>
      <w:marLeft w:val="0"/>
      <w:marRight w:val="0"/>
      <w:marTop w:val="0"/>
      <w:marBottom w:val="0"/>
      <w:divBdr>
        <w:top w:val="none" w:sz="0" w:space="0" w:color="auto"/>
        <w:left w:val="none" w:sz="0" w:space="0" w:color="auto"/>
        <w:bottom w:val="none" w:sz="0" w:space="0" w:color="auto"/>
        <w:right w:val="none" w:sz="0" w:space="0" w:color="auto"/>
      </w:divBdr>
    </w:div>
    <w:div w:id="872578017">
      <w:bodyDiv w:val="1"/>
      <w:marLeft w:val="0"/>
      <w:marRight w:val="0"/>
      <w:marTop w:val="0"/>
      <w:marBottom w:val="0"/>
      <w:divBdr>
        <w:top w:val="none" w:sz="0" w:space="0" w:color="auto"/>
        <w:left w:val="none" w:sz="0" w:space="0" w:color="auto"/>
        <w:bottom w:val="none" w:sz="0" w:space="0" w:color="auto"/>
        <w:right w:val="none" w:sz="0" w:space="0" w:color="auto"/>
      </w:divBdr>
    </w:div>
    <w:div w:id="887643789">
      <w:bodyDiv w:val="1"/>
      <w:marLeft w:val="0"/>
      <w:marRight w:val="0"/>
      <w:marTop w:val="0"/>
      <w:marBottom w:val="0"/>
      <w:divBdr>
        <w:top w:val="none" w:sz="0" w:space="0" w:color="auto"/>
        <w:left w:val="none" w:sz="0" w:space="0" w:color="auto"/>
        <w:bottom w:val="none" w:sz="0" w:space="0" w:color="auto"/>
        <w:right w:val="none" w:sz="0" w:space="0" w:color="auto"/>
      </w:divBdr>
    </w:div>
    <w:div w:id="895432798">
      <w:bodyDiv w:val="1"/>
      <w:marLeft w:val="0"/>
      <w:marRight w:val="0"/>
      <w:marTop w:val="0"/>
      <w:marBottom w:val="0"/>
      <w:divBdr>
        <w:top w:val="none" w:sz="0" w:space="0" w:color="auto"/>
        <w:left w:val="none" w:sz="0" w:space="0" w:color="auto"/>
        <w:bottom w:val="none" w:sz="0" w:space="0" w:color="auto"/>
        <w:right w:val="none" w:sz="0" w:space="0" w:color="auto"/>
      </w:divBdr>
    </w:div>
    <w:div w:id="903640257">
      <w:bodyDiv w:val="1"/>
      <w:marLeft w:val="0"/>
      <w:marRight w:val="0"/>
      <w:marTop w:val="0"/>
      <w:marBottom w:val="0"/>
      <w:divBdr>
        <w:top w:val="none" w:sz="0" w:space="0" w:color="auto"/>
        <w:left w:val="none" w:sz="0" w:space="0" w:color="auto"/>
        <w:bottom w:val="none" w:sz="0" w:space="0" w:color="auto"/>
        <w:right w:val="none" w:sz="0" w:space="0" w:color="auto"/>
      </w:divBdr>
    </w:div>
    <w:div w:id="905528696">
      <w:bodyDiv w:val="1"/>
      <w:marLeft w:val="0"/>
      <w:marRight w:val="0"/>
      <w:marTop w:val="0"/>
      <w:marBottom w:val="0"/>
      <w:divBdr>
        <w:top w:val="none" w:sz="0" w:space="0" w:color="auto"/>
        <w:left w:val="none" w:sz="0" w:space="0" w:color="auto"/>
        <w:bottom w:val="none" w:sz="0" w:space="0" w:color="auto"/>
        <w:right w:val="none" w:sz="0" w:space="0" w:color="auto"/>
      </w:divBdr>
    </w:div>
    <w:div w:id="907955098">
      <w:bodyDiv w:val="1"/>
      <w:marLeft w:val="0"/>
      <w:marRight w:val="0"/>
      <w:marTop w:val="0"/>
      <w:marBottom w:val="0"/>
      <w:divBdr>
        <w:top w:val="none" w:sz="0" w:space="0" w:color="auto"/>
        <w:left w:val="none" w:sz="0" w:space="0" w:color="auto"/>
        <w:bottom w:val="none" w:sz="0" w:space="0" w:color="auto"/>
        <w:right w:val="none" w:sz="0" w:space="0" w:color="auto"/>
      </w:divBdr>
    </w:div>
    <w:div w:id="915894112">
      <w:bodyDiv w:val="1"/>
      <w:marLeft w:val="0"/>
      <w:marRight w:val="0"/>
      <w:marTop w:val="0"/>
      <w:marBottom w:val="0"/>
      <w:divBdr>
        <w:top w:val="none" w:sz="0" w:space="0" w:color="auto"/>
        <w:left w:val="none" w:sz="0" w:space="0" w:color="auto"/>
        <w:bottom w:val="none" w:sz="0" w:space="0" w:color="auto"/>
        <w:right w:val="none" w:sz="0" w:space="0" w:color="auto"/>
      </w:divBdr>
    </w:div>
    <w:div w:id="920917079">
      <w:bodyDiv w:val="1"/>
      <w:marLeft w:val="0"/>
      <w:marRight w:val="0"/>
      <w:marTop w:val="0"/>
      <w:marBottom w:val="0"/>
      <w:divBdr>
        <w:top w:val="none" w:sz="0" w:space="0" w:color="auto"/>
        <w:left w:val="none" w:sz="0" w:space="0" w:color="auto"/>
        <w:bottom w:val="none" w:sz="0" w:space="0" w:color="auto"/>
        <w:right w:val="none" w:sz="0" w:space="0" w:color="auto"/>
      </w:divBdr>
    </w:div>
    <w:div w:id="936447720">
      <w:bodyDiv w:val="1"/>
      <w:marLeft w:val="0"/>
      <w:marRight w:val="0"/>
      <w:marTop w:val="0"/>
      <w:marBottom w:val="0"/>
      <w:divBdr>
        <w:top w:val="none" w:sz="0" w:space="0" w:color="auto"/>
        <w:left w:val="none" w:sz="0" w:space="0" w:color="auto"/>
        <w:bottom w:val="none" w:sz="0" w:space="0" w:color="auto"/>
        <w:right w:val="none" w:sz="0" w:space="0" w:color="auto"/>
      </w:divBdr>
    </w:div>
    <w:div w:id="982926437">
      <w:bodyDiv w:val="1"/>
      <w:marLeft w:val="0"/>
      <w:marRight w:val="0"/>
      <w:marTop w:val="0"/>
      <w:marBottom w:val="0"/>
      <w:divBdr>
        <w:top w:val="none" w:sz="0" w:space="0" w:color="auto"/>
        <w:left w:val="none" w:sz="0" w:space="0" w:color="auto"/>
        <w:bottom w:val="none" w:sz="0" w:space="0" w:color="auto"/>
        <w:right w:val="none" w:sz="0" w:space="0" w:color="auto"/>
      </w:divBdr>
    </w:div>
    <w:div w:id="1072698071">
      <w:bodyDiv w:val="1"/>
      <w:marLeft w:val="0"/>
      <w:marRight w:val="0"/>
      <w:marTop w:val="0"/>
      <w:marBottom w:val="0"/>
      <w:divBdr>
        <w:top w:val="none" w:sz="0" w:space="0" w:color="auto"/>
        <w:left w:val="none" w:sz="0" w:space="0" w:color="auto"/>
        <w:bottom w:val="none" w:sz="0" w:space="0" w:color="auto"/>
        <w:right w:val="none" w:sz="0" w:space="0" w:color="auto"/>
      </w:divBdr>
    </w:div>
    <w:div w:id="1094669576">
      <w:bodyDiv w:val="1"/>
      <w:marLeft w:val="0"/>
      <w:marRight w:val="0"/>
      <w:marTop w:val="0"/>
      <w:marBottom w:val="0"/>
      <w:divBdr>
        <w:top w:val="none" w:sz="0" w:space="0" w:color="auto"/>
        <w:left w:val="none" w:sz="0" w:space="0" w:color="auto"/>
        <w:bottom w:val="none" w:sz="0" w:space="0" w:color="auto"/>
        <w:right w:val="none" w:sz="0" w:space="0" w:color="auto"/>
      </w:divBdr>
    </w:div>
    <w:div w:id="1102066524">
      <w:bodyDiv w:val="1"/>
      <w:marLeft w:val="0"/>
      <w:marRight w:val="0"/>
      <w:marTop w:val="0"/>
      <w:marBottom w:val="0"/>
      <w:divBdr>
        <w:top w:val="none" w:sz="0" w:space="0" w:color="auto"/>
        <w:left w:val="none" w:sz="0" w:space="0" w:color="auto"/>
        <w:bottom w:val="none" w:sz="0" w:space="0" w:color="auto"/>
        <w:right w:val="none" w:sz="0" w:space="0" w:color="auto"/>
      </w:divBdr>
    </w:div>
    <w:div w:id="1119911809">
      <w:bodyDiv w:val="1"/>
      <w:marLeft w:val="0"/>
      <w:marRight w:val="0"/>
      <w:marTop w:val="0"/>
      <w:marBottom w:val="0"/>
      <w:divBdr>
        <w:top w:val="none" w:sz="0" w:space="0" w:color="auto"/>
        <w:left w:val="none" w:sz="0" w:space="0" w:color="auto"/>
        <w:bottom w:val="none" w:sz="0" w:space="0" w:color="auto"/>
        <w:right w:val="none" w:sz="0" w:space="0" w:color="auto"/>
      </w:divBdr>
    </w:div>
    <w:div w:id="1140920880">
      <w:bodyDiv w:val="1"/>
      <w:marLeft w:val="0"/>
      <w:marRight w:val="0"/>
      <w:marTop w:val="0"/>
      <w:marBottom w:val="0"/>
      <w:divBdr>
        <w:top w:val="none" w:sz="0" w:space="0" w:color="auto"/>
        <w:left w:val="none" w:sz="0" w:space="0" w:color="auto"/>
        <w:bottom w:val="none" w:sz="0" w:space="0" w:color="auto"/>
        <w:right w:val="none" w:sz="0" w:space="0" w:color="auto"/>
      </w:divBdr>
    </w:div>
    <w:div w:id="1142963343">
      <w:bodyDiv w:val="1"/>
      <w:marLeft w:val="0"/>
      <w:marRight w:val="0"/>
      <w:marTop w:val="0"/>
      <w:marBottom w:val="0"/>
      <w:divBdr>
        <w:top w:val="none" w:sz="0" w:space="0" w:color="auto"/>
        <w:left w:val="none" w:sz="0" w:space="0" w:color="auto"/>
        <w:bottom w:val="none" w:sz="0" w:space="0" w:color="auto"/>
        <w:right w:val="none" w:sz="0" w:space="0" w:color="auto"/>
      </w:divBdr>
    </w:div>
    <w:div w:id="1145657015">
      <w:bodyDiv w:val="1"/>
      <w:marLeft w:val="0"/>
      <w:marRight w:val="0"/>
      <w:marTop w:val="0"/>
      <w:marBottom w:val="0"/>
      <w:divBdr>
        <w:top w:val="none" w:sz="0" w:space="0" w:color="auto"/>
        <w:left w:val="none" w:sz="0" w:space="0" w:color="auto"/>
        <w:bottom w:val="none" w:sz="0" w:space="0" w:color="auto"/>
        <w:right w:val="none" w:sz="0" w:space="0" w:color="auto"/>
      </w:divBdr>
    </w:div>
    <w:div w:id="1201823474">
      <w:bodyDiv w:val="1"/>
      <w:marLeft w:val="0"/>
      <w:marRight w:val="0"/>
      <w:marTop w:val="0"/>
      <w:marBottom w:val="0"/>
      <w:divBdr>
        <w:top w:val="none" w:sz="0" w:space="0" w:color="auto"/>
        <w:left w:val="none" w:sz="0" w:space="0" w:color="auto"/>
        <w:bottom w:val="none" w:sz="0" w:space="0" w:color="auto"/>
        <w:right w:val="none" w:sz="0" w:space="0" w:color="auto"/>
      </w:divBdr>
    </w:div>
    <w:div w:id="1206604640">
      <w:bodyDiv w:val="1"/>
      <w:marLeft w:val="0"/>
      <w:marRight w:val="0"/>
      <w:marTop w:val="0"/>
      <w:marBottom w:val="0"/>
      <w:divBdr>
        <w:top w:val="none" w:sz="0" w:space="0" w:color="auto"/>
        <w:left w:val="none" w:sz="0" w:space="0" w:color="auto"/>
        <w:bottom w:val="none" w:sz="0" w:space="0" w:color="auto"/>
        <w:right w:val="none" w:sz="0" w:space="0" w:color="auto"/>
      </w:divBdr>
    </w:div>
    <w:div w:id="1222060549">
      <w:bodyDiv w:val="1"/>
      <w:marLeft w:val="0"/>
      <w:marRight w:val="0"/>
      <w:marTop w:val="0"/>
      <w:marBottom w:val="0"/>
      <w:divBdr>
        <w:top w:val="none" w:sz="0" w:space="0" w:color="auto"/>
        <w:left w:val="none" w:sz="0" w:space="0" w:color="auto"/>
        <w:bottom w:val="none" w:sz="0" w:space="0" w:color="auto"/>
        <w:right w:val="none" w:sz="0" w:space="0" w:color="auto"/>
      </w:divBdr>
    </w:div>
    <w:div w:id="1242763240">
      <w:bodyDiv w:val="1"/>
      <w:marLeft w:val="0"/>
      <w:marRight w:val="0"/>
      <w:marTop w:val="0"/>
      <w:marBottom w:val="0"/>
      <w:divBdr>
        <w:top w:val="none" w:sz="0" w:space="0" w:color="auto"/>
        <w:left w:val="none" w:sz="0" w:space="0" w:color="auto"/>
        <w:bottom w:val="none" w:sz="0" w:space="0" w:color="auto"/>
        <w:right w:val="none" w:sz="0" w:space="0" w:color="auto"/>
      </w:divBdr>
    </w:div>
    <w:div w:id="1268848918">
      <w:bodyDiv w:val="1"/>
      <w:marLeft w:val="0"/>
      <w:marRight w:val="0"/>
      <w:marTop w:val="0"/>
      <w:marBottom w:val="0"/>
      <w:divBdr>
        <w:top w:val="none" w:sz="0" w:space="0" w:color="auto"/>
        <w:left w:val="none" w:sz="0" w:space="0" w:color="auto"/>
        <w:bottom w:val="none" w:sz="0" w:space="0" w:color="auto"/>
        <w:right w:val="none" w:sz="0" w:space="0" w:color="auto"/>
      </w:divBdr>
    </w:div>
    <w:div w:id="1292521353">
      <w:bodyDiv w:val="1"/>
      <w:marLeft w:val="0"/>
      <w:marRight w:val="0"/>
      <w:marTop w:val="0"/>
      <w:marBottom w:val="0"/>
      <w:divBdr>
        <w:top w:val="none" w:sz="0" w:space="0" w:color="auto"/>
        <w:left w:val="none" w:sz="0" w:space="0" w:color="auto"/>
        <w:bottom w:val="none" w:sz="0" w:space="0" w:color="auto"/>
        <w:right w:val="none" w:sz="0" w:space="0" w:color="auto"/>
      </w:divBdr>
    </w:div>
    <w:div w:id="1323436658">
      <w:bodyDiv w:val="1"/>
      <w:marLeft w:val="0"/>
      <w:marRight w:val="0"/>
      <w:marTop w:val="0"/>
      <w:marBottom w:val="0"/>
      <w:divBdr>
        <w:top w:val="none" w:sz="0" w:space="0" w:color="auto"/>
        <w:left w:val="none" w:sz="0" w:space="0" w:color="auto"/>
        <w:bottom w:val="none" w:sz="0" w:space="0" w:color="auto"/>
        <w:right w:val="none" w:sz="0" w:space="0" w:color="auto"/>
      </w:divBdr>
    </w:div>
    <w:div w:id="1324161373">
      <w:bodyDiv w:val="1"/>
      <w:marLeft w:val="0"/>
      <w:marRight w:val="0"/>
      <w:marTop w:val="0"/>
      <w:marBottom w:val="0"/>
      <w:divBdr>
        <w:top w:val="none" w:sz="0" w:space="0" w:color="auto"/>
        <w:left w:val="none" w:sz="0" w:space="0" w:color="auto"/>
        <w:bottom w:val="none" w:sz="0" w:space="0" w:color="auto"/>
        <w:right w:val="none" w:sz="0" w:space="0" w:color="auto"/>
      </w:divBdr>
    </w:div>
    <w:div w:id="1417631623">
      <w:bodyDiv w:val="1"/>
      <w:marLeft w:val="0"/>
      <w:marRight w:val="0"/>
      <w:marTop w:val="0"/>
      <w:marBottom w:val="0"/>
      <w:divBdr>
        <w:top w:val="none" w:sz="0" w:space="0" w:color="auto"/>
        <w:left w:val="none" w:sz="0" w:space="0" w:color="auto"/>
        <w:bottom w:val="none" w:sz="0" w:space="0" w:color="auto"/>
        <w:right w:val="none" w:sz="0" w:space="0" w:color="auto"/>
      </w:divBdr>
    </w:div>
    <w:div w:id="1423916205">
      <w:bodyDiv w:val="1"/>
      <w:marLeft w:val="0"/>
      <w:marRight w:val="0"/>
      <w:marTop w:val="0"/>
      <w:marBottom w:val="0"/>
      <w:divBdr>
        <w:top w:val="none" w:sz="0" w:space="0" w:color="auto"/>
        <w:left w:val="none" w:sz="0" w:space="0" w:color="auto"/>
        <w:bottom w:val="none" w:sz="0" w:space="0" w:color="auto"/>
        <w:right w:val="none" w:sz="0" w:space="0" w:color="auto"/>
      </w:divBdr>
    </w:div>
    <w:div w:id="1443188221">
      <w:bodyDiv w:val="1"/>
      <w:marLeft w:val="0"/>
      <w:marRight w:val="0"/>
      <w:marTop w:val="0"/>
      <w:marBottom w:val="0"/>
      <w:divBdr>
        <w:top w:val="none" w:sz="0" w:space="0" w:color="auto"/>
        <w:left w:val="none" w:sz="0" w:space="0" w:color="auto"/>
        <w:bottom w:val="none" w:sz="0" w:space="0" w:color="auto"/>
        <w:right w:val="none" w:sz="0" w:space="0" w:color="auto"/>
      </w:divBdr>
    </w:div>
    <w:div w:id="1481770389">
      <w:bodyDiv w:val="1"/>
      <w:marLeft w:val="0"/>
      <w:marRight w:val="0"/>
      <w:marTop w:val="0"/>
      <w:marBottom w:val="0"/>
      <w:divBdr>
        <w:top w:val="none" w:sz="0" w:space="0" w:color="auto"/>
        <w:left w:val="none" w:sz="0" w:space="0" w:color="auto"/>
        <w:bottom w:val="none" w:sz="0" w:space="0" w:color="auto"/>
        <w:right w:val="none" w:sz="0" w:space="0" w:color="auto"/>
      </w:divBdr>
    </w:div>
    <w:div w:id="1491092288">
      <w:bodyDiv w:val="1"/>
      <w:marLeft w:val="0"/>
      <w:marRight w:val="0"/>
      <w:marTop w:val="0"/>
      <w:marBottom w:val="0"/>
      <w:divBdr>
        <w:top w:val="none" w:sz="0" w:space="0" w:color="auto"/>
        <w:left w:val="none" w:sz="0" w:space="0" w:color="auto"/>
        <w:bottom w:val="none" w:sz="0" w:space="0" w:color="auto"/>
        <w:right w:val="none" w:sz="0" w:space="0" w:color="auto"/>
      </w:divBdr>
      <w:divsChild>
        <w:div w:id="1354961505">
          <w:marLeft w:val="0"/>
          <w:marRight w:val="0"/>
          <w:marTop w:val="0"/>
          <w:marBottom w:val="0"/>
          <w:divBdr>
            <w:top w:val="none" w:sz="0" w:space="0" w:color="auto"/>
            <w:left w:val="none" w:sz="0" w:space="0" w:color="auto"/>
            <w:bottom w:val="none" w:sz="0" w:space="0" w:color="auto"/>
            <w:right w:val="none" w:sz="0" w:space="0" w:color="auto"/>
          </w:divBdr>
          <w:divsChild>
            <w:div w:id="1901670609">
              <w:marLeft w:val="0"/>
              <w:marRight w:val="0"/>
              <w:marTop w:val="0"/>
              <w:marBottom w:val="0"/>
              <w:divBdr>
                <w:top w:val="none" w:sz="0" w:space="0" w:color="auto"/>
                <w:left w:val="none" w:sz="0" w:space="0" w:color="auto"/>
                <w:bottom w:val="none" w:sz="0" w:space="0" w:color="auto"/>
                <w:right w:val="none" w:sz="0" w:space="0" w:color="auto"/>
              </w:divBdr>
              <w:divsChild>
                <w:div w:id="1227957530">
                  <w:marLeft w:val="0"/>
                  <w:marRight w:val="0"/>
                  <w:marTop w:val="0"/>
                  <w:marBottom w:val="0"/>
                  <w:divBdr>
                    <w:top w:val="none" w:sz="0" w:space="0" w:color="auto"/>
                    <w:left w:val="none" w:sz="0" w:space="0" w:color="auto"/>
                    <w:bottom w:val="none" w:sz="0" w:space="0" w:color="auto"/>
                    <w:right w:val="none" w:sz="0" w:space="0" w:color="auto"/>
                  </w:divBdr>
                  <w:divsChild>
                    <w:div w:id="20615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408624">
          <w:marLeft w:val="0"/>
          <w:marRight w:val="0"/>
          <w:marTop w:val="0"/>
          <w:marBottom w:val="0"/>
          <w:divBdr>
            <w:top w:val="single" w:sz="6" w:space="0" w:color="EEEEEE"/>
            <w:left w:val="single" w:sz="6" w:space="0" w:color="EEEEEE"/>
            <w:bottom w:val="single" w:sz="6" w:space="0" w:color="EEEEEE"/>
            <w:right w:val="single" w:sz="6" w:space="0" w:color="EEEEEE"/>
          </w:divBdr>
          <w:divsChild>
            <w:div w:id="26732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88314">
      <w:bodyDiv w:val="1"/>
      <w:marLeft w:val="0"/>
      <w:marRight w:val="0"/>
      <w:marTop w:val="0"/>
      <w:marBottom w:val="0"/>
      <w:divBdr>
        <w:top w:val="none" w:sz="0" w:space="0" w:color="auto"/>
        <w:left w:val="none" w:sz="0" w:space="0" w:color="auto"/>
        <w:bottom w:val="none" w:sz="0" w:space="0" w:color="auto"/>
        <w:right w:val="none" w:sz="0" w:space="0" w:color="auto"/>
      </w:divBdr>
    </w:div>
    <w:div w:id="1572424771">
      <w:bodyDiv w:val="1"/>
      <w:marLeft w:val="0"/>
      <w:marRight w:val="0"/>
      <w:marTop w:val="0"/>
      <w:marBottom w:val="0"/>
      <w:divBdr>
        <w:top w:val="none" w:sz="0" w:space="0" w:color="auto"/>
        <w:left w:val="none" w:sz="0" w:space="0" w:color="auto"/>
        <w:bottom w:val="none" w:sz="0" w:space="0" w:color="auto"/>
        <w:right w:val="none" w:sz="0" w:space="0" w:color="auto"/>
      </w:divBdr>
    </w:div>
    <w:div w:id="1586956329">
      <w:bodyDiv w:val="1"/>
      <w:marLeft w:val="0"/>
      <w:marRight w:val="0"/>
      <w:marTop w:val="0"/>
      <w:marBottom w:val="0"/>
      <w:divBdr>
        <w:top w:val="none" w:sz="0" w:space="0" w:color="auto"/>
        <w:left w:val="none" w:sz="0" w:space="0" w:color="auto"/>
        <w:bottom w:val="none" w:sz="0" w:space="0" w:color="auto"/>
        <w:right w:val="none" w:sz="0" w:space="0" w:color="auto"/>
      </w:divBdr>
    </w:div>
    <w:div w:id="1588925381">
      <w:bodyDiv w:val="1"/>
      <w:marLeft w:val="0"/>
      <w:marRight w:val="0"/>
      <w:marTop w:val="0"/>
      <w:marBottom w:val="0"/>
      <w:divBdr>
        <w:top w:val="none" w:sz="0" w:space="0" w:color="auto"/>
        <w:left w:val="none" w:sz="0" w:space="0" w:color="auto"/>
        <w:bottom w:val="none" w:sz="0" w:space="0" w:color="auto"/>
        <w:right w:val="none" w:sz="0" w:space="0" w:color="auto"/>
      </w:divBdr>
    </w:div>
    <w:div w:id="1603612893">
      <w:bodyDiv w:val="1"/>
      <w:marLeft w:val="0"/>
      <w:marRight w:val="0"/>
      <w:marTop w:val="0"/>
      <w:marBottom w:val="0"/>
      <w:divBdr>
        <w:top w:val="none" w:sz="0" w:space="0" w:color="auto"/>
        <w:left w:val="none" w:sz="0" w:space="0" w:color="auto"/>
        <w:bottom w:val="none" w:sz="0" w:space="0" w:color="auto"/>
        <w:right w:val="none" w:sz="0" w:space="0" w:color="auto"/>
      </w:divBdr>
    </w:div>
    <w:div w:id="1616979846">
      <w:bodyDiv w:val="1"/>
      <w:marLeft w:val="0"/>
      <w:marRight w:val="0"/>
      <w:marTop w:val="0"/>
      <w:marBottom w:val="0"/>
      <w:divBdr>
        <w:top w:val="none" w:sz="0" w:space="0" w:color="auto"/>
        <w:left w:val="none" w:sz="0" w:space="0" w:color="auto"/>
        <w:bottom w:val="none" w:sz="0" w:space="0" w:color="auto"/>
        <w:right w:val="none" w:sz="0" w:space="0" w:color="auto"/>
      </w:divBdr>
    </w:div>
    <w:div w:id="1645430982">
      <w:bodyDiv w:val="1"/>
      <w:marLeft w:val="0"/>
      <w:marRight w:val="0"/>
      <w:marTop w:val="0"/>
      <w:marBottom w:val="0"/>
      <w:divBdr>
        <w:top w:val="none" w:sz="0" w:space="0" w:color="auto"/>
        <w:left w:val="none" w:sz="0" w:space="0" w:color="auto"/>
        <w:bottom w:val="none" w:sz="0" w:space="0" w:color="auto"/>
        <w:right w:val="none" w:sz="0" w:space="0" w:color="auto"/>
      </w:divBdr>
    </w:div>
    <w:div w:id="1676180903">
      <w:bodyDiv w:val="1"/>
      <w:marLeft w:val="0"/>
      <w:marRight w:val="0"/>
      <w:marTop w:val="0"/>
      <w:marBottom w:val="0"/>
      <w:divBdr>
        <w:top w:val="none" w:sz="0" w:space="0" w:color="auto"/>
        <w:left w:val="none" w:sz="0" w:space="0" w:color="auto"/>
        <w:bottom w:val="none" w:sz="0" w:space="0" w:color="auto"/>
        <w:right w:val="none" w:sz="0" w:space="0" w:color="auto"/>
      </w:divBdr>
    </w:div>
    <w:div w:id="1687780524">
      <w:bodyDiv w:val="1"/>
      <w:marLeft w:val="0"/>
      <w:marRight w:val="0"/>
      <w:marTop w:val="0"/>
      <w:marBottom w:val="0"/>
      <w:divBdr>
        <w:top w:val="none" w:sz="0" w:space="0" w:color="auto"/>
        <w:left w:val="none" w:sz="0" w:space="0" w:color="auto"/>
        <w:bottom w:val="none" w:sz="0" w:space="0" w:color="auto"/>
        <w:right w:val="none" w:sz="0" w:space="0" w:color="auto"/>
      </w:divBdr>
    </w:div>
    <w:div w:id="1688680220">
      <w:bodyDiv w:val="1"/>
      <w:marLeft w:val="0"/>
      <w:marRight w:val="0"/>
      <w:marTop w:val="0"/>
      <w:marBottom w:val="0"/>
      <w:divBdr>
        <w:top w:val="none" w:sz="0" w:space="0" w:color="auto"/>
        <w:left w:val="none" w:sz="0" w:space="0" w:color="auto"/>
        <w:bottom w:val="none" w:sz="0" w:space="0" w:color="auto"/>
        <w:right w:val="none" w:sz="0" w:space="0" w:color="auto"/>
      </w:divBdr>
    </w:div>
    <w:div w:id="1692992908">
      <w:bodyDiv w:val="1"/>
      <w:marLeft w:val="0"/>
      <w:marRight w:val="0"/>
      <w:marTop w:val="0"/>
      <w:marBottom w:val="0"/>
      <w:divBdr>
        <w:top w:val="none" w:sz="0" w:space="0" w:color="auto"/>
        <w:left w:val="none" w:sz="0" w:space="0" w:color="auto"/>
        <w:bottom w:val="none" w:sz="0" w:space="0" w:color="auto"/>
        <w:right w:val="none" w:sz="0" w:space="0" w:color="auto"/>
      </w:divBdr>
    </w:div>
    <w:div w:id="1708482499">
      <w:bodyDiv w:val="1"/>
      <w:marLeft w:val="0"/>
      <w:marRight w:val="0"/>
      <w:marTop w:val="0"/>
      <w:marBottom w:val="0"/>
      <w:divBdr>
        <w:top w:val="none" w:sz="0" w:space="0" w:color="auto"/>
        <w:left w:val="none" w:sz="0" w:space="0" w:color="auto"/>
        <w:bottom w:val="none" w:sz="0" w:space="0" w:color="auto"/>
        <w:right w:val="none" w:sz="0" w:space="0" w:color="auto"/>
      </w:divBdr>
    </w:div>
    <w:div w:id="1711807843">
      <w:bodyDiv w:val="1"/>
      <w:marLeft w:val="0"/>
      <w:marRight w:val="0"/>
      <w:marTop w:val="0"/>
      <w:marBottom w:val="0"/>
      <w:divBdr>
        <w:top w:val="none" w:sz="0" w:space="0" w:color="auto"/>
        <w:left w:val="none" w:sz="0" w:space="0" w:color="auto"/>
        <w:bottom w:val="none" w:sz="0" w:space="0" w:color="auto"/>
        <w:right w:val="none" w:sz="0" w:space="0" w:color="auto"/>
      </w:divBdr>
    </w:div>
    <w:div w:id="1712849587">
      <w:bodyDiv w:val="1"/>
      <w:marLeft w:val="0"/>
      <w:marRight w:val="0"/>
      <w:marTop w:val="0"/>
      <w:marBottom w:val="0"/>
      <w:divBdr>
        <w:top w:val="none" w:sz="0" w:space="0" w:color="auto"/>
        <w:left w:val="none" w:sz="0" w:space="0" w:color="auto"/>
        <w:bottom w:val="none" w:sz="0" w:space="0" w:color="auto"/>
        <w:right w:val="none" w:sz="0" w:space="0" w:color="auto"/>
      </w:divBdr>
    </w:div>
    <w:div w:id="1721981715">
      <w:bodyDiv w:val="1"/>
      <w:marLeft w:val="0"/>
      <w:marRight w:val="0"/>
      <w:marTop w:val="0"/>
      <w:marBottom w:val="0"/>
      <w:divBdr>
        <w:top w:val="none" w:sz="0" w:space="0" w:color="auto"/>
        <w:left w:val="none" w:sz="0" w:space="0" w:color="auto"/>
        <w:bottom w:val="none" w:sz="0" w:space="0" w:color="auto"/>
        <w:right w:val="none" w:sz="0" w:space="0" w:color="auto"/>
      </w:divBdr>
    </w:div>
    <w:div w:id="1728071963">
      <w:bodyDiv w:val="1"/>
      <w:marLeft w:val="0"/>
      <w:marRight w:val="0"/>
      <w:marTop w:val="0"/>
      <w:marBottom w:val="0"/>
      <w:divBdr>
        <w:top w:val="none" w:sz="0" w:space="0" w:color="auto"/>
        <w:left w:val="none" w:sz="0" w:space="0" w:color="auto"/>
        <w:bottom w:val="none" w:sz="0" w:space="0" w:color="auto"/>
        <w:right w:val="none" w:sz="0" w:space="0" w:color="auto"/>
      </w:divBdr>
    </w:div>
    <w:div w:id="1775712703">
      <w:bodyDiv w:val="1"/>
      <w:marLeft w:val="0"/>
      <w:marRight w:val="0"/>
      <w:marTop w:val="0"/>
      <w:marBottom w:val="0"/>
      <w:divBdr>
        <w:top w:val="none" w:sz="0" w:space="0" w:color="auto"/>
        <w:left w:val="none" w:sz="0" w:space="0" w:color="auto"/>
        <w:bottom w:val="none" w:sz="0" w:space="0" w:color="auto"/>
        <w:right w:val="none" w:sz="0" w:space="0" w:color="auto"/>
      </w:divBdr>
    </w:div>
    <w:div w:id="1781487189">
      <w:bodyDiv w:val="1"/>
      <w:marLeft w:val="0"/>
      <w:marRight w:val="0"/>
      <w:marTop w:val="0"/>
      <w:marBottom w:val="0"/>
      <w:divBdr>
        <w:top w:val="none" w:sz="0" w:space="0" w:color="auto"/>
        <w:left w:val="none" w:sz="0" w:space="0" w:color="auto"/>
        <w:bottom w:val="none" w:sz="0" w:space="0" w:color="auto"/>
        <w:right w:val="none" w:sz="0" w:space="0" w:color="auto"/>
      </w:divBdr>
    </w:div>
    <w:div w:id="1783500394">
      <w:bodyDiv w:val="1"/>
      <w:marLeft w:val="0"/>
      <w:marRight w:val="0"/>
      <w:marTop w:val="0"/>
      <w:marBottom w:val="0"/>
      <w:divBdr>
        <w:top w:val="none" w:sz="0" w:space="0" w:color="auto"/>
        <w:left w:val="none" w:sz="0" w:space="0" w:color="auto"/>
        <w:bottom w:val="none" w:sz="0" w:space="0" w:color="auto"/>
        <w:right w:val="none" w:sz="0" w:space="0" w:color="auto"/>
      </w:divBdr>
      <w:divsChild>
        <w:div w:id="1430928718">
          <w:marLeft w:val="0"/>
          <w:marRight w:val="0"/>
          <w:marTop w:val="0"/>
          <w:marBottom w:val="0"/>
          <w:divBdr>
            <w:top w:val="single" w:sz="6" w:space="0" w:color="EEEEEE"/>
            <w:left w:val="single" w:sz="6" w:space="0" w:color="EEEEEE"/>
            <w:bottom w:val="single" w:sz="6" w:space="0" w:color="EEEEEE"/>
            <w:right w:val="single" w:sz="6" w:space="0" w:color="EEEEEE"/>
          </w:divBdr>
          <w:divsChild>
            <w:div w:id="1715497890">
              <w:marLeft w:val="0"/>
              <w:marRight w:val="0"/>
              <w:marTop w:val="0"/>
              <w:marBottom w:val="0"/>
              <w:divBdr>
                <w:top w:val="none" w:sz="0" w:space="0" w:color="auto"/>
                <w:left w:val="none" w:sz="0" w:space="0" w:color="auto"/>
                <w:bottom w:val="none" w:sz="0" w:space="0" w:color="auto"/>
                <w:right w:val="none" w:sz="0" w:space="0" w:color="auto"/>
              </w:divBdr>
            </w:div>
          </w:divsChild>
        </w:div>
        <w:div w:id="1595088484">
          <w:marLeft w:val="0"/>
          <w:marRight w:val="0"/>
          <w:marTop w:val="0"/>
          <w:marBottom w:val="0"/>
          <w:divBdr>
            <w:top w:val="none" w:sz="0" w:space="0" w:color="auto"/>
            <w:left w:val="none" w:sz="0" w:space="0" w:color="auto"/>
            <w:bottom w:val="none" w:sz="0" w:space="0" w:color="auto"/>
            <w:right w:val="none" w:sz="0" w:space="0" w:color="auto"/>
          </w:divBdr>
          <w:divsChild>
            <w:div w:id="2136874782">
              <w:marLeft w:val="0"/>
              <w:marRight w:val="0"/>
              <w:marTop w:val="0"/>
              <w:marBottom w:val="0"/>
              <w:divBdr>
                <w:top w:val="none" w:sz="0" w:space="0" w:color="auto"/>
                <w:left w:val="none" w:sz="0" w:space="0" w:color="auto"/>
                <w:bottom w:val="none" w:sz="0" w:space="0" w:color="auto"/>
                <w:right w:val="none" w:sz="0" w:space="0" w:color="auto"/>
              </w:divBdr>
              <w:divsChild>
                <w:div w:id="1394333">
                  <w:marLeft w:val="0"/>
                  <w:marRight w:val="0"/>
                  <w:marTop w:val="0"/>
                  <w:marBottom w:val="0"/>
                  <w:divBdr>
                    <w:top w:val="none" w:sz="0" w:space="0" w:color="auto"/>
                    <w:left w:val="none" w:sz="0" w:space="0" w:color="auto"/>
                    <w:bottom w:val="none" w:sz="0" w:space="0" w:color="auto"/>
                    <w:right w:val="none" w:sz="0" w:space="0" w:color="auto"/>
                  </w:divBdr>
                  <w:divsChild>
                    <w:div w:id="12913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052853">
      <w:bodyDiv w:val="1"/>
      <w:marLeft w:val="0"/>
      <w:marRight w:val="0"/>
      <w:marTop w:val="0"/>
      <w:marBottom w:val="0"/>
      <w:divBdr>
        <w:top w:val="none" w:sz="0" w:space="0" w:color="auto"/>
        <w:left w:val="none" w:sz="0" w:space="0" w:color="auto"/>
        <w:bottom w:val="none" w:sz="0" w:space="0" w:color="auto"/>
        <w:right w:val="none" w:sz="0" w:space="0" w:color="auto"/>
      </w:divBdr>
    </w:div>
    <w:div w:id="1818107705">
      <w:bodyDiv w:val="1"/>
      <w:marLeft w:val="0"/>
      <w:marRight w:val="0"/>
      <w:marTop w:val="0"/>
      <w:marBottom w:val="0"/>
      <w:divBdr>
        <w:top w:val="none" w:sz="0" w:space="0" w:color="auto"/>
        <w:left w:val="none" w:sz="0" w:space="0" w:color="auto"/>
        <w:bottom w:val="none" w:sz="0" w:space="0" w:color="auto"/>
        <w:right w:val="none" w:sz="0" w:space="0" w:color="auto"/>
      </w:divBdr>
    </w:div>
    <w:div w:id="1853186201">
      <w:bodyDiv w:val="1"/>
      <w:marLeft w:val="0"/>
      <w:marRight w:val="0"/>
      <w:marTop w:val="0"/>
      <w:marBottom w:val="0"/>
      <w:divBdr>
        <w:top w:val="none" w:sz="0" w:space="0" w:color="auto"/>
        <w:left w:val="none" w:sz="0" w:space="0" w:color="auto"/>
        <w:bottom w:val="none" w:sz="0" w:space="0" w:color="auto"/>
        <w:right w:val="none" w:sz="0" w:space="0" w:color="auto"/>
      </w:divBdr>
    </w:div>
    <w:div w:id="1864631468">
      <w:bodyDiv w:val="1"/>
      <w:marLeft w:val="0"/>
      <w:marRight w:val="0"/>
      <w:marTop w:val="0"/>
      <w:marBottom w:val="0"/>
      <w:divBdr>
        <w:top w:val="none" w:sz="0" w:space="0" w:color="auto"/>
        <w:left w:val="none" w:sz="0" w:space="0" w:color="auto"/>
        <w:bottom w:val="none" w:sz="0" w:space="0" w:color="auto"/>
        <w:right w:val="none" w:sz="0" w:space="0" w:color="auto"/>
      </w:divBdr>
    </w:div>
    <w:div w:id="1888371281">
      <w:bodyDiv w:val="1"/>
      <w:marLeft w:val="0"/>
      <w:marRight w:val="0"/>
      <w:marTop w:val="0"/>
      <w:marBottom w:val="0"/>
      <w:divBdr>
        <w:top w:val="none" w:sz="0" w:space="0" w:color="auto"/>
        <w:left w:val="none" w:sz="0" w:space="0" w:color="auto"/>
        <w:bottom w:val="none" w:sz="0" w:space="0" w:color="auto"/>
        <w:right w:val="none" w:sz="0" w:space="0" w:color="auto"/>
      </w:divBdr>
    </w:div>
    <w:div w:id="1891108294">
      <w:bodyDiv w:val="1"/>
      <w:marLeft w:val="0"/>
      <w:marRight w:val="0"/>
      <w:marTop w:val="0"/>
      <w:marBottom w:val="0"/>
      <w:divBdr>
        <w:top w:val="none" w:sz="0" w:space="0" w:color="auto"/>
        <w:left w:val="none" w:sz="0" w:space="0" w:color="auto"/>
        <w:bottom w:val="none" w:sz="0" w:space="0" w:color="auto"/>
        <w:right w:val="none" w:sz="0" w:space="0" w:color="auto"/>
      </w:divBdr>
    </w:div>
    <w:div w:id="1929729736">
      <w:bodyDiv w:val="1"/>
      <w:marLeft w:val="0"/>
      <w:marRight w:val="0"/>
      <w:marTop w:val="0"/>
      <w:marBottom w:val="0"/>
      <w:divBdr>
        <w:top w:val="none" w:sz="0" w:space="0" w:color="auto"/>
        <w:left w:val="none" w:sz="0" w:space="0" w:color="auto"/>
        <w:bottom w:val="none" w:sz="0" w:space="0" w:color="auto"/>
        <w:right w:val="none" w:sz="0" w:space="0" w:color="auto"/>
      </w:divBdr>
    </w:div>
    <w:div w:id="1936091883">
      <w:bodyDiv w:val="1"/>
      <w:marLeft w:val="0"/>
      <w:marRight w:val="0"/>
      <w:marTop w:val="0"/>
      <w:marBottom w:val="0"/>
      <w:divBdr>
        <w:top w:val="none" w:sz="0" w:space="0" w:color="auto"/>
        <w:left w:val="none" w:sz="0" w:space="0" w:color="auto"/>
        <w:bottom w:val="none" w:sz="0" w:space="0" w:color="auto"/>
        <w:right w:val="none" w:sz="0" w:space="0" w:color="auto"/>
      </w:divBdr>
    </w:div>
    <w:div w:id="1936670440">
      <w:bodyDiv w:val="1"/>
      <w:marLeft w:val="0"/>
      <w:marRight w:val="0"/>
      <w:marTop w:val="0"/>
      <w:marBottom w:val="0"/>
      <w:divBdr>
        <w:top w:val="none" w:sz="0" w:space="0" w:color="auto"/>
        <w:left w:val="none" w:sz="0" w:space="0" w:color="auto"/>
        <w:bottom w:val="none" w:sz="0" w:space="0" w:color="auto"/>
        <w:right w:val="none" w:sz="0" w:space="0" w:color="auto"/>
      </w:divBdr>
    </w:div>
    <w:div w:id="1953588329">
      <w:bodyDiv w:val="1"/>
      <w:marLeft w:val="0"/>
      <w:marRight w:val="0"/>
      <w:marTop w:val="0"/>
      <w:marBottom w:val="0"/>
      <w:divBdr>
        <w:top w:val="none" w:sz="0" w:space="0" w:color="auto"/>
        <w:left w:val="none" w:sz="0" w:space="0" w:color="auto"/>
        <w:bottom w:val="none" w:sz="0" w:space="0" w:color="auto"/>
        <w:right w:val="none" w:sz="0" w:space="0" w:color="auto"/>
      </w:divBdr>
    </w:div>
    <w:div w:id="1965236701">
      <w:bodyDiv w:val="1"/>
      <w:marLeft w:val="0"/>
      <w:marRight w:val="0"/>
      <w:marTop w:val="0"/>
      <w:marBottom w:val="0"/>
      <w:divBdr>
        <w:top w:val="none" w:sz="0" w:space="0" w:color="auto"/>
        <w:left w:val="none" w:sz="0" w:space="0" w:color="auto"/>
        <w:bottom w:val="none" w:sz="0" w:space="0" w:color="auto"/>
        <w:right w:val="none" w:sz="0" w:space="0" w:color="auto"/>
      </w:divBdr>
    </w:div>
    <w:div w:id="1973518221">
      <w:bodyDiv w:val="1"/>
      <w:marLeft w:val="0"/>
      <w:marRight w:val="0"/>
      <w:marTop w:val="0"/>
      <w:marBottom w:val="0"/>
      <w:divBdr>
        <w:top w:val="none" w:sz="0" w:space="0" w:color="auto"/>
        <w:left w:val="none" w:sz="0" w:space="0" w:color="auto"/>
        <w:bottom w:val="none" w:sz="0" w:space="0" w:color="auto"/>
        <w:right w:val="none" w:sz="0" w:space="0" w:color="auto"/>
      </w:divBdr>
    </w:div>
    <w:div w:id="1977564471">
      <w:bodyDiv w:val="1"/>
      <w:marLeft w:val="0"/>
      <w:marRight w:val="0"/>
      <w:marTop w:val="0"/>
      <w:marBottom w:val="0"/>
      <w:divBdr>
        <w:top w:val="none" w:sz="0" w:space="0" w:color="auto"/>
        <w:left w:val="none" w:sz="0" w:space="0" w:color="auto"/>
        <w:bottom w:val="none" w:sz="0" w:space="0" w:color="auto"/>
        <w:right w:val="none" w:sz="0" w:space="0" w:color="auto"/>
      </w:divBdr>
    </w:div>
    <w:div w:id="1982340888">
      <w:bodyDiv w:val="1"/>
      <w:marLeft w:val="0"/>
      <w:marRight w:val="0"/>
      <w:marTop w:val="0"/>
      <w:marBottom w:val="0"/>
      <w:divBdr>
        <w:top w:val="none" w:sz="0" w:space="0" w:color="auto"/>
        <w:left w:val="none" w:sz="0" w:space="0" w:color="auto"/>
        <w:bottom w:val="none" w:sz="0" w:space="0" w:color="auto"/>
        <w:right w:val="none" w:sz="0" w:space="0" w:color="auto"/>
      </w:divBdr>
    </w:div>
    <w:div w:id="2011980294">
      <w:bodyDiv w:val="1"/>
      <w:marLeft w:val="0"/>
      <w:marRight w:val="0"/>
      <w:marTop w:val="0"/>
      <w:marBottom w:val="0"/>
      <w:divBdr>
        <w:top w:val="none" w:sz="0" w:space="0" w:color="auto"/>
        <w:left w:val="none" w:sz="0" w:space="0" w:color="auto"/>
        <w:bottom w:val="none" w:sz="0" w:space="0" w:color="auto"/>
        <w:right w:val="none" w:sz="0" w:space="0" w:color="auto"/>
      </w:divBdr>
    </w:div>
    <w:div w:id="2017730009">
      <w:bodyDiv w:val="1"/>
      <w:marLeft w:val="0"/>
      <w:marRight w:val="0"/>
      <w:marTop w:val="0"/>
      <w:marBottom w:val="0"/>
      <w:divBdr>
        <w:top w:val="none" w:sz="0" w:space="0" w:color="auto"/>
        <w:left w:val="none" w:sz="0" w:space="0" w:color="auto"/>
        <w:bottom w:val="none" w:sz="0" w:space="0" w:color="auto"/>
        <w:right w:val="none" w:sz="0" w:space="0" w:color="auto"/>
      </w:divBdr>
    </w:div>
    <w:div w:id="2047020572">
      <w:bodyDiv w:val="1"/>
      <w:marLeft w:val="0"/>
      <w:marRight w:val="0"/>
      <w:marTop w:val="0"/>
      <w:marBottom w:val="0"/>
      <w:divBdr>
        <w:top w:val="none" w:sz="0" w:space="0" w:color="auto"/>
        <w:left w:val="none" w:sz="0" w:space="0" w:color="auto"/>
        <w:bottom w:val="none" w:sz="0" w:space="0" w:color="auto"/>
        <w:right w:val="none" w:sz="0" w:space="0" w:color="auto"/>
      </w:divBdr>
    </w:div>
    <w:div w:id="2059280110">
      <w:bodyDiv w:val="1"/>
      <w:marLeft w:val="0"/>
      <w:marRight w:val="0"/>
      <w:marTop w:val="0"/>
      <w:marBottom w:val="0"/>
      <w:divBdr>
        <w:top w:val="none" w:sz="0" w:space="0" w:color="auto"/>
        <w:left w:val="none" w:sz="0" w:space="0" w:color="auto"/>
        <w:bottom w:val="none" w:sz="0" w:space="0" w:color="auto"/>
        <w:right w:val="none" w:sz="0" w:space="0" w:color="auto"/>
      </w:divBdr>
    </w:div>
    <w:div w:id="2059470239">
      <w:bodyDiv w:val="1"/>
      <w:marLeft w:val="0"/>
      <w:marRight w:val="0"/>
      <w:marTop w:val="0"/>
      <w:marBottom w:val="0"/>
      <w:divBdr>
        <w:top w:val="none" w:sz="0" w:space="0" w:color="auto"/>
        <w:left w:val="none" w:sz="0" w:space="0" w:color="auto"/>
        <w:bottom w:val="none" w:sz="0" w:space="0" w:color="auto"/>
        <w:right w:val="none" w:sz="0" w:space="0" w:color="auto"/>
      </w:divBdr>
    </w:div>
    <w:div w:id="2068602874">
      <w:bodyDiv w:val="1"/>
      <w:marLeft w:val="0"/>
      <w:marRight w:val="0"/>
      <w:marTop w:val="0"/>
      <w:marBottom w:val="0"/>
      <w:divBdr>
        <w:top w:val="none" w:sz="0" w:space="0" w:color="auto"/>
        <w:left w:val="none" w:sz="0" w:space="0" w:color="auto"/>
        <w:bottom w:val="none" w:sz="0" w:space="0" w:color="auto"/>
        <w:right w:val="none" w:sz="0" w:space="0" w:color="auto"/>
      </w:divBdr>
    </w:div>
    <w:div w:id="2076394795">
      <w:bodyDiv w:val="1"/>
      <w:marLeft w:val="0"/>
      <w:marRight w:val="0"/>
      <w:marTop w:val="0"/>
      <w:marBottom w:val="0"/>
      <w:divBdr>
        <w:top w:val="none" w:sz="0" w:space="0" w:color="auto"/>
        <w:left w:val="none" w:sz="0" w:space="0" w:color="auto"/>
        <w:bottom w:val="none" w:sz="0" w:space="0" w:color="auto"/>
        <w:right w:val="none" w:sz="0" w:space="0" w:color="auto"/>
      </w:divBdr>
    </w:div>
    <w:div w:id="2088727095">
      <w:bodyDiv w:val="1"/>
      <w:marLeft w:val="0"/>
      <w:marRight w:val="0"/>
      <w:marTop w:val="0"/>
      <w:marBottom w:val="0"/>
      <w:divBdr>
        <w:top w:val="none" w:sz="0" w:space="0" w:color="auto"/>
        <w:left w:val="none" w:sz="0" w:space="0" w:color="auto"/>
        <w:bottom w:val="none" w:sz="0" w:space="0" w:color="auto"/>
        <w:right w:val="none" w:sz="0" w:space="0" w:color="auto"/>
      </w:divBdr>
    </w:div>
    <w:div w:id="2106924637">
      <w:bodyDiv w:val="1"/>
      <w:marLeft w:val="0"/>
      <w:marRight w:val="0"/>
      <w:marTop w:val="0"/>
      <w:marBottom w:val="0"/>
      <w:divBdr>
        <w:top w:val="none" w:sz="0" w:space="0" w:color="auto"/>
        <w:left w:val="none" w:sz="0" w:space="0" w:color="auto"/>
        <w:bottom w:val="none" w:sz="0" w:space="0" w:color="auto"/>
        <w:right w:val="none" w:sz="0" w:space="0" w:color="auto"/>
      </w:divBdr>
    </w:div>
    <w:div w:id="2112163735">
      <w:bodyDiv w:val="1"/>
      <w:marLeft w:val="0"/>
      <w:marRight w:val="0"/>
      <w:marTop w:val="0"/>
      <w:marBottom w:val="0"/>
      <w:divBdr>
        <w:top w:val="none" w:sz="0" w:space="0" w:color="auto"/>
        <w:left w:val="none" w:sz="0" w:space="0" w:color="auto"/>
        <w:bottom w:val="none" w:sz="0" w:space="0" w:color="auto"/>
        <w:right w:val="none" w:sz="0" w:space="0" w:color="auto"/>
      </w:divBdr>
    </w:div>
    <w:div w:id="2116555710">
      <w:bodyDiv w:val="1"/>
      <w:marLeft w:val="0"/>
      <w:marRight w:val="0"/>
      <w:marTop w:val="0"/>
      <w:marBottom w:val="0"/>
      <w:divBdr>
        <w:top w:val="none" w:sz="0" w:space="0" w:color="auto"/>
        <w:left w:val="none" w:sz="0" w:space="0" w:color="auto"/>
        <w:bottom w:val="none" w:sz="0" w:space="0" w:color="auto"/>
        <w:right w:val="none" w:sz="0" w:space="0" w:color="auto"/>
      </w:divBdr>
    </w:div>
    <w:div w:id="2118135979">
      <w:bodyDiv w:val="1"/>
      <w:marLeft w:val="0"/>
      <w:marRight w:val="0"/>
      <w:marTop w:val="0"/>
      <w:marBottom w:val="0"/>
      <w:divBdr>
        <w:top w:val="none" w:sz="0" w:space="0" w:color="auto"/>
        <w:left w:val="none" w:sz="0" w:space="0" w:color="auto"/>
        <w:bottom w:val="none" w:sz="0" w:space="0" w:color="auto"/>
        <w:right w:val="none" w:sz="0" w:space="0" w:color="auto"/>
      </w:divBdr>
    </w:div>
    <w:div w:id="2125028379">
      <w:bodyDiv w:val="1"/>
      <w:marLeft w:val="0"/>
      <w:marRight w:val="0"/>
      <w:marTop w:val="0"/>
      <w:marBottom w:val="0"/>
      <w:divBdr>
        <w:top w:val="none" w:sz="0" w:space="0" w:color="auto"/>
        <w:left w:val="none" w:sz="0" w:space="0" w:color="auto"/>
        <w:bottom w:val="none" w:sz="0" w:space="0" w:color="auto"/>
        <w:right w:val="none" w:sz="0" w:space="0" w:color="auto"/>
      </w:divBdr>
    </w:div>
    <w:div w:id="2145154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admus.eui.eu/handle/1814/9848"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yperlink" Target="https://economics.sas.upenn.edu/sites/default/files/filevault/13-003.pd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arina.federico@unive.i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onomics.sas.upenn.edu/sites/default/files/filevault/13-003.pdf" TargetMode="External"/><Relationship Id="rId2" Type="http://schemas.openxmlformats.org/officeDocument/2006/relationships/hyperlink" Target="https://cadmus.eui.eu/handle/1814/984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FD627D-8947-724E-A926-E1141BB41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17</Pages>
  <Words>7210</Words>
  <Characters>41097</Characters>
  <Application>Microsoft Macintosh Word</Application>
  <DocSecurity>0</DocSecurity>
  <Lines>342</Lines>
  <Paragraphs>96</Paragraphs>
  <ScaleCrop>false</ScaleCrop>
  <HeadingPairs>
    <vt:vector size="2" baseType="variant">
      <vt:variant>
        <vt:lpstr>Titolo</vt:lpstr>
      </vt:variant>
      <vt:variant>
        <vt:i4>1</vt:i4>
      </vt:variant>
    </vt:vector>
  </HeadingPairs>
  <TitlesOfParts>
    <vt:vector size="1" baseType="lpstr">
      <vt:lpstr/>
    </vt:vector>
  </TitlesOfParts>
  <Company>Universita' Luigi Bocconi</Company>
  <LinksUpToDate>false</LinksUpToDate>
  <CharactersWithSpaces>48211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55</cp:revision>
  <dcterms:created xsi:type="dcterms:W3CDTF">2022-11-07T09:58:00Z</dcterms:created>
  <dcterms:modified xsi:type="dcterms:W3CDTF">2022-12-16T17:56:00Z</dcterms:modified>
</cp:coreProperties>
</file>