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996A" w14:textId="5783531D" w:rsidR="00980F08" w:rsidRDefault="00980F08" w:rsidP="00980F08">
      <w:pPr>
        <w:pStyle w:val="NoSpacing"/>
        <w:spacing w:line="480" w:lineRule="auto"/>
        <w:rPr>
          <w:rFonts w:ascii="Times New Roman" w:hAnsi="Times New Roman"/>
          <w:b/>
          <w:bCs/>
          <w:color w:val="000000" w:themeColor="text1"/>
          <w:kern w:val="36"/>
          <w:sz w:val="28"/>
          <w:szCs w:val="28"/>
        </w:rPr>
      </w:pPr>
      <w:r>
        <w:rPr>
          <w:rFonts w:ascii="Times New Roman" w:hAnsi="Times New Roman"/>
          <w:b/>
          <w:bCs/>
          <w:color w:val="000000" w:themeColor="text1"/>
          <w:kern w:val="36"/>
          <w:sz w:val="28"/>
          <w:szCs w:val="28"/>
        </w:rPr>
        <w:t>Draft of 12-4-22 for ALR.  Please use this draft rather than the one sent earlier.</w:t>
      </w:r>
    </w:p>
    <w:p w14:paraId="40DEA6CB" w14:textId="6052A674" w:rsidR="001807BF" w:rsidRPr="004A4D63" w:rsidRDefault="00B36F55" w:rsidP="002E1007">
      <w:pPr>
        <w:pStyle w:val="NoSpacing"/>
        <w:spacing w:line="480" w:lineRule="auto"/>
        <w:jc w:val="center"/>
        <w:rPr>
          <w:rFonts w:ascii="Times New Roman" w:hAnsi="Times New Roman"/>
          <w:sz w:val="28"/>
          <w:szCs w:val="28"/>
        </w:rPr>
      </w:pPr>
      <w:r w:rsidRPr="004A4D63">
        <w:rPr>
          <w:rFonts w:ascii="Times New Roman" w:hAnsi="Times New Roman"/>
          <w:b/>
          <w:bCs/>
          <w:color w:val="000000" w:themeColor="text1"/>
          <w:kern w:val="36"/>
          <w:sz w:val="28"/>
          <w:szCs w:val="28"/>
        </w:rPr>
        <w:t>GREENLIGHTING ADMINISTRATIVE PROSECUTION</w:t>
      </w:r>
    </w:p>
    <w:p w14:paraId="06EE3A1D" w14:textId="7FA9C877" w:rsidR="007D77AF" w:rsidRPr="004A4D63" w:rsidRDefault="00F756B0" w:rsidP="0065383A">
      <w:pPr>
        <w:spacing w:line="480" w:lineRule="auto"/>
        <w:jc w:val="center"/>
        <w:rPr>
          <w:sz w:val="28"/>
          <w:szCs w:val="28"/>
        </w:rPr>
      </w:pPr>
      <w:r w:rsidRPr="004A4D63">
        <w:rPr>
          <w:sz w:val="28"/>
          <w:szCs w:val="28"/>
        </w:rPr>
        <w:t>Michael Asimow</w:t>
      </w:r>
      <w:r w:rsidR="009A176A" w:rsidRPr="004A4D63">
        <w:rPr>
          <w:sz w:val="28"/>
          <w:szCs w:val="28"/>
        </w:rPr>
        <w:t>*</w:t>
      </w:r>
    </w:p>
    <w:p w14:paraId="5D8F8A80" w14:textId="3542CEE0" w:rsidR="007D77AF" w:rsidRPr="004A4D63" w:rsidRDefault="007D77AF" w:rsidP="0065383A">
      <w:pPr>
        <w:spacing w:line="480" w:lineRule="auto"/>
        <w:jc w:val="center"/>
        <w:rPr>
          <w:sz w:val="28"/>
          <w:szCs w:val="28"/>
        </w:rPr>
      </w:pPr>
      <w:r w:rsidRPr="004A4D63">
        <w:rPr>
          <w:b/>
          <w:bCs/>
          <w:sz w:val="28"/>
          <w:szCs w:val="28"/>
        </w:rPr>
        <w:t>Abstract</w:t>
      </w:r>
    </w:p>
    <w:p w14:paraId="77EDC3D3" w14:textId="0E63FB5D" w:rsidR="00B36F55" w:rsidRPr="004A4D63" w:rsidRDefault="007D77AF" w:rsidP="0065383A">
      <w:pPr>
        <w:spacing w:line="480" w:lineRule="auto"/>
        <w:rPr>
          <w:color w:val="000000" w:themeColor="text1"/>
          <w:kern w:val="36"/>
          <w:sz w:val="28"/>
          <w:szCs w:val="28"/>
        </w:rPr>
      </w:pPr>
      <w:r w:rsidRPr="004A4D63">
        <w:rPr>
          <w:sz w:val="28"/>
          <w:szCs w:val="28"/>
        </w:rPr>
        <w:tab/>
        <w:t xml:space="preserve">“Greenlighting” is the process whereby the heads of a combined-function federal regulatory agency determine whether to accept the staff’s decision to charge </w:t>
      </w:r>
      <w:r w:rsidR="00ED7445" w:rsidRPr="004A4D63">
        <w:rPr>
          <w:sz w:val="28"/>
          <w:szCs w:val="28"/>
        </w:rPr>
        <w:t xml:space="preserve">or not charge </w:t>
      </w:r>
      <w:r w:rsidRPr="004A4D63">
        <w:rPr>
          <w:sz w:val="28"/>
          <w:szCs w:val="28"/>
        </w:rPr>
        <w:t>a target</w:t>
      </w:r>
      <w:r w:rsidR="00ED7445" w:rsidRPr="004A4D63">
        <w:rPr>
          <w:sz w:val="28"/>
          <w:szCs w:val="28"/>
        </w:rPr>
        <w:t xml:space="preserve"> with a violation of law</w:t>
      </w:r>
      <w:r w:rsidRPr="004A4D63">
        <w:rPr>
          <w:sz w:val="28"/>
          <w:szCs w:val="28"/>
        </w:rPr>
        <w:t xml:space="preserve">.  The charging decision is often the most consequential decision point in a regulatory prosecution and typically sets off a settlement negotiation.  Yet the charging decision is unchecked by legislative, execution or judicial mechanisms.  Greenlighting is an important accountability tool with respect to the staff’s prosecutorial discretion.  It is often used to correct misalignment between the priorities of the agency heads and their staff.  Yet greenlighting is controversial because of concern about confirmation bias; having approved a prosecution, the agency heads may be unable to render an unbiased decision when the case </w:t>
      </w:r>
      <w:r w:rsidR="00ED7445" w:rsidRPr="004A4D63">
        <w:rPr>
          <w:sz w:val="28"/>
          <w:szCs w:val="28"/>
        </w:rPr>
        <w:t xml:space="preserve">returns </w:t>
      </w:r>
      <w:r w:rsidRPr="004A4D63">
        <w:rPr>
          <w:sz w:val="28"/>
          <w:szCs w:val="28"/>
        </w:rPr>
        <w:t xml:space="preserve">to them for the final adjudicatory decision. </w:t>
      </w:r>
    </w:p>
    <w:p w14:paraId="205B8A02" w14:textId="353542F4" w:rsidR="00C349CA" w:rsidRPr="004A4D63" w:rsidRDefault="003121EB" w:rsidP="0065383A">
      <w:pPr>
        <w:spacing w:line="480" w:lineRule="auto"/>
        <w:jc w:val="center"/>
        <w:rPr>
          <w:b/>
          <w:bCs/>
          <w:sz w:val="28"/>
          <w:szCs w:val="28"/>
        </w:rPr>
      </w:pPr>
      <w:r w:rsidRPr="004A4D63">
        <w:rPr>
          <w:b/>
          <w:bCs/>
          <w:sz w:val="28"/>
          <w:szCs w:val="28"/>
        </w:rPr>
        <w:t xml:space="preserve">I. </w:t>
      </w:r>
      <w:r w:rsidR="00C349CA" w:rsidRPr="004A4D63">
        <w:rPr>
          <w:b/>
          <w:bCs/>
          <w:sz w:val="28"/>
          <w:szCs w:val="28"/>
        </w:rPr>
        <w:t>INTRODUCTION</w:t>
      </w:r>
    </w:p>
    <w:p w14:paraId="2BAB4995" w14:textId="2622438D" w:rsidR="00027E92" w:rsidRPr="004A4D63" w:rsidRDefault="00C349CA" w:rsidP="0065383A">
      <w:pPr>
        <w:spacing w:line="480" w:lineRule="auto"/>
        <w:rPr>
          <w:sz w:val="28"/>
          <w:szCs w:val="28"/>
        </w:rPr>
      </w:pPr>
      <w:r w:rsidRPr="004A4D63">
        <w:rPr>
          <w:sz w:val="28"/>
          <w:szCs w:val="28"/>
        </w:rPr>
        <w:tab/>
      </w:r>
      <w:r w:rsidR="001544A1" w:rsidRPr="004A4D63">
        <w:rPr>
          <w:sz w:val="28"/>
          <w:szCs w:val="28"/>
        </w:rPr>
        <w:t xml:space="preserve">This </w:t>
      </w:r>
      <w:r w:rsidR="00F756B0" w:rsidRPr="004A4D63">
        <w:rPr>
          <w:sz w:val="28"/>
          <w:szCs w:val="28"/>
        </w:rPr>
        <w:t xml:space="preserve">article </w:t>
      </w:r>
      <w:r w:rsidR="001544A1" w:rsidRPr="004A4D63">
        <w:rPr>
          <w:sz w:val="28"/>
          <w:szCs w:val="28"/>
        </w:rPr>
        <w:t xml:space="preserve">concerns </w:t>
      </w:r>
      <w:r w:rsidR="00A07B28" w:rsidRPr="004A4D63">
        <w:rPr>
          <w:sz w:val="28"/>
          <w:szCs w:val="28"/>
        </w:rPr>
        <w:t xml:space="preserve">the </w:t>
      </w:r>
      <w:r w:rsidR="00337525" w:rsidRPr="004A4D63">
        <w:rPr>
          <w:sz w:val="28"/>
          <w:szCs w:val="28"/>
        </w:rPr>
        <w:t xml:space="preserve">charging </w:t>
      </w:r>
      <w:r w:rsidR="00A07B28" w:rsidRPr="004A4D63">
        <w:rPr>
          <w:sz w:val="28"/>
          <w:szCs w:val="28"/>
        </w:rPr>
        <w:t xml:space="preserve">practices of </w:t>
      </w:r>
      <w:r w:rsidR="001544A1" w:rsidRPr="004A4D63">
        <w:rPr>
          <w:sz w:val="28"/>
          <w:szCs w:val="28"/>
        </w:rPr>
        <w:t xml:space="preserve">federal </w:t>
      </w:r>
      <w:r w:rsidR="004631C6" w:rsidRPr="004A4D63">
        <w:rPr>
          <w:sz w:val="28"/>
          <w:szCs w:val="28"/>
        </w:rPr>
        <w:t xml:space="preserve">regulatory </w:t>
      </w:r>
      <w:r w:rsidR="001544A1" w:rsidRPr="004A4D63">
        <w:rPr>
          <w:sz w:val="28"/>
          <w:szCs w:val="28"/>
        </w:rPr>
        <w:t xml:space="preserve">agencies that </w:t>
      </w:r>
      <w:r w:rsidR="00027E92" w:rsidRPr="004A4D63">
        <w:rPr>
          <w:sz w:val="28"/>
          <w:szCs w:val="28"/>
        </w:rPr>
        <w:t>engage both in law enforcement and adjudication</w:t>
      </w:r>
      <w:r w:rsidR="009A176A" w:rsidRPr="004A4D63">
        <w:rPr>
          <w:sz w:val="28"/>
          <w:szCs w:val="28"/>
        </w:rPr>
        <w:t xml:space="preserve"> (</w:t>
      </w:r>
      <w:r w:rsidR="00ED7445" w:rsidRPr="004A4D63">
        <w:rPr>
          <w:sz w:val="28"/>
          <w:szCs w:val="28"/>
        </w:rPr>
        <w:t xml:space="preserve">often referred to </w:t>
      </w:r>
      <w:r w:rsidR="009A176A" w:rsidRPr="004A4D63">
        <w:rPr>
          <w:sz w:val="28"/>
          <w:szCs w:val="28"/>
        </w:rPr>
        <w:t xml:space="preserve">“combined function” agencies). </w:t>
      </w:r>
      <w:r w:rsidR="00A113FB" w:rsidRPr="004A4D63">
        <w:rPr>
          <w:sz w:val="28"/>
          <w:szCs w:val="28"/>
        </w:rPr>
        <w:t xml:space="preserve"> It focuses on the process by which the staff decides to charge </w:t>
      </w:r>
      <w:r w:rsidR="00A113FB" w:rsidRPr="004A4D63">
        <w:rPr>
          <w:sz w:val="28"/>
          <w:szCs w:val="28"/>
        </w:rPr>
        <w:lastRenderedPageBreak/>
        <w:t>suspected violators (“targets”</w:t>
      </w:r>
      <w:r w:rsidR="00F37726" w:rsidRPr="004A4D63">
        <w:rPr>
          <w:rStyle w:val="FootnoteReference"/>
          <w:sz w:val="28"/>
          <w:szCs w:val="28"/>
        </w:rPr>
        <w:footnoteReference w:id="1"/>
      </w:r>
      <w:r w:rsidR="00A113FB" w:rsidRPr="004A4D63">
        <w:rPr>
          <w:sz w:val="28"/>
          <w:szCs w:val="28"/>
        </w:rPr>
        <w:t xml:space="preserve">) and the approval by </w:t>
      </w:r>
      <w:r w:rsidR="005E7D8B">
        <w:rPr>
          <w:sz w:val="28"/>
          <w:szCs w:val="28"/>
        </w:rPr>
        <w:t xml:space="preserve">the </w:t>
      </w:r>
      <w:r w:rsidR="00A113FB" w:rsidRPr="004A4D63">
        <w:rPr>
          <w:sz w:val="28"/>
          <w:szCs w:val="28"/>
        </w:rPr>
        <w:t>agency head</w:t>
      </w:r>
      <w:r w:rsidR="005E7D8B">
        <w:rPr>
          <w:sz w:val="28"/>
          <w:szCs w:val="28"/>
        </w:rPr>
        <w:t>s</w:t>
      </w:r>
      <w:r w:rsidR="007F79A6" w:rsidRPr="004A4D63">
        <w:rPr>
          <w:rStyle w:val="FootnoteReference"/>
          <w:sz w:val="28"/>
          <w:szCs w:val="28"/>
        </w:rPr>
        <w:footnoteReference w:id="2"/>
      </w:r>
      <w:r w:rsidR="00A113FB" w:rsidRPr="004A4D63">
        <w:rPr>
          <w:sz w:val="28"/>
          <w:szCs w:val="28"/>
        </w:rPr>
        <w:t xml:space="preserve"> of this charging </w:t>
      </w:r>
      <w:r w:rsidR="00B43917" w:rsidRPr="004A4D63">
        <w:rPr>
          <w:sz w:val="28"/>
          <w:szCs w:val="28"/>
        </w:rPr>
        <w:t>d</w:t>
      </w:r>
      <w:r w:rsidR="00A113FB" w:rsidRPr="004A4D63">
        <w:rPr>
          <w:sz w:val="28"/>
          <w:szCs w:val="28"/>
        </w:rPr>
        <w:t xml:space="preserve">ecision—a process I </w:t>
      </w:r>
      <w:r w:rsidR="00CC0446" w:rsidRPr="004A4D63">
        <w:rPr>
          <w:sz w:val="28"/>
          <w:szCs w:val="28"/>
        </w:rPr>
        <w:t xml:space="preserve">call </w:t>
      </w:r>
      <w:r w:rsidR="00A113FB" w:rsidRPr="004A4D63">
        <w:rPr>
          <w:sz w:val="28"/>
          <w:szCs w:val="28"/>
        </w:rPr>
        <w:t>“greenlighting.”</w:t>
      </w:r>
      <w:r w:rsidR="00D64845" w:rsidRPr="004A4D63">
        <w:rPr>
          <w:rStyle w:val="FootnoteReference"/>
          <w:sz w:val="28"/>
          <w:szCs w:val="28"/>
        </w:rPr>
        <w:footnoteReference w:id="3"/>
      </w:r>
      <w:r w:rsidR="00A113FB" w:rsidRPr="004A4D63">
        <w:rPr>
          <w:sz w:val="28"/>
          <w:szCs w:val="28"/>
        </w:rPr>
        <w:t xml:space="preserve"> Thus the focus of the </w:t>
      </w:r>
      <w:r w:rsidR="00816D61" w:rsidRPr="004A4D63">
        <w:rPr>
          <w:sz w:val="28"/>
          <w:szCs w:val="28"/>
        </w:rPr>
        <w:t xml:space="preserve">article </w:t>
      </w:r>
      <w:r w:rsidR="00A113FB" w:rsidRPr="004A4D63">
        <w:rPr>
          <w:sz w:val="28"/>
          <w:szCs w:val="28"/>
        </w:rPr>
        <w:t xml:space="preserve">is on the interaction between staff and agency heads </w:t>
      </w:r>
      <w:r w:rsidR="00AE1590" w:rsidRPr="004A4D63">
        <w:rPr>
          <w:sz w:val="28"/>
          <w:szCs w:val="28"/>
        </w:rPr>
        <w:t>when the agenc</w:t>
      </w:r>
      <w:r w:rsidR="00FB7B59" w:rsidRPr="004A4D63">
        <w:rPr>
          <w:sz w:val="28"/>
          <w:szCs w:val="28"/>
        </w:rPr>
        <w:t>y</w:t>
      </w:r>
      <w:r w:rsidR="00AE1590" w:rsidRPr="004A4D63">
        <w:rPr>
          <w:sz w:val="28"/>
          <w:szCs w:val="28"/>
        </w:rPr>
        <w:t xml:space="preserve"> </w:t>
      </w:r>
      <w:r w:rsidR="00D2032E" w:rsidRPr="004A4D63">
        <w:rPr>
          <w:sz w:val="28"/>
          <w:szCs w:val="28"/>
        </w:rPr>
        <w:t>decides</w:t>
      </w:r>
      <w:r w:rsidR="00A113FB" w:rsidRPr="004A4D63">
        <w:rPr>
          <w:sz w:val="28"/>
          <w:szCs w:val="28"/>
        </w:rPr>
        <w:t xml:space="preserve"> to charge.</w:t>
      </w:r>
      <w:r w:rsidR="001039F3" w:rsidRPr="004A4D63">
        <w:rPr>
          <w:rStyle w:val="FootnoteReference"/>
          <w:sz w:val="28"/>
          <w:szCs w:val="28"/>
        </w:rPr>
        <w:footnoteReference w:id="4"/>
      </w:r>
      <w:r w:rsidR="00027E92" w:rsidRPr="004A4D63">
        <w:rPr>
          <w:sz w:val="28"/>
          <w:szCs w:val="28"/>
        </w:rPr>
        <w:t xml:space="preserve">         </w:t>
      </w:r>
    </w:p>
    <w:p w14:paraId="2E539DBF" w14:textId="27F4F8E2" w:rsidR="00027E92" w:rsidRPr="004A4D63" w:rsidRDefault="00027E92" w:rsidP="0065383A">
      <w:pPr>
        <w:spacing w:line="480" w:lineRule="auto"/>
        <w:rPr>
          <w:sz w:val="28"/>
          <w:szCs w:val="28"/>
        </w:rPr>
      </w:pPr>
      <w:r w:rsidRPr="004A4D63">
        <w:rPr>
          <w:sz w:val="28"/>
          <w:szCs w:val="28"/>
        </w:rPr>
        <w:tab/>
        <w:t>The decision to charge is an exercise of prosecutorial discretion by the staff</w:t>
      </w:r>
      <w:r w:rsidR="00622928" w:rsidRPr="004A4D63">
        <w:rPr>
          <w:sz w:val="28"/>
          <w:szCs w:val="28"/>
        </w:rPr>
        <w:t xml:space="preserve"> that resembles the charging decision by prosecutors in criminal cases.</w:t>
      </w:r>
      <w:r w:rsidR="00622928" w:rsidRPr="004A4D63">
        <w:rPr>
          <w:rStyle w:val="FootnoteReference"/>
          <w:sz w:val="28"/>
          <w:szCs w:val="28"/>
        </w:rPr>
        <w:footnoteReference w:id="5"/>
      </w:r>
      <w:r w:rsidR="00622928" w:rsidRPr="004A4D63">
        <w:rPr>
          <w:sz w:val="28"/>
          <w:szCs w:val="28"/>
        </w:rPr>
        <w:t xml:space="preserve"> </w:t>
      </w:r>
      <w:r w:rsidR="001A15A5" w:rsidRPr="004A4D63">
        <w:rPr>
          <w:sz w:val="28"/>
          <w:szCs w:val="28"/>
        </w:rPr>
        <w:t xml:space="preserve">In both the </w:t>
      </w:r>
      <w:r w:rsidR="001A15A5" w:rsidRPr="004A4D63">
        <w:rPr>
          <w:sz w:val="28"/>
          <w:szCs w:val="28"/>
        </w:rPr>
        <w:lastRenderedPageBreak/>
        <w:t xml:space="preserve">criminal and administrative justice systems, the </w:t>
      </w:r>
      <w:r w:rsidR="00622928" w:rsidRPr="004A4D63">
        <w:rPr>
          <w:sz w:val="28"/>
          <w:szCs w:val="28"/>
        </w:rPr>
        <w:t xml:space="preserve">charging decision </w:t>
      </w:r>
      <w:r w:rsidR="001A15A5" w:rsidRPr="004A4D63">
        <w:rPr>
          <w:sz w:val="28"/>
          <w:szCs w:val="28"/>
        </w:rPr>
        <w:t xml:space="preserve">is likely to </w:t>
      </w:r>
      <w:r w:rsidR="00F91ACE" w:rsidRPr="004A4D63">
        <w:rPr>
          <w:sz w:val="28"/>
          <w:szCs w:val="28"/>
        </w:rPr>
        <w:t xml:space="preserve">be </w:t>
      </w:r>
      <w:r w:rsidRPr="004A4D63">
        <w:rPr>
          <w:sz w:val="28"/>
          <w:szCs w:val="28"/>
        </w:rPr>
        <w:t xml:space="preserve">the most </w:t>
      </w:r>
      <w:r w:rsidR="00CE4375" w:rsidRPr="004A4D63">
        <w:rPr>
          <w:sz w:val="28"/>
          <w:szCs w:val="28"/>
        </w:rPr>
        <w:t xml:space="preserve">consequential </w:t>
      </w:r>
      <w:r w:rsidRPr="004A4D63">
        <w:rPr>
          <w:sz w:val="28"/>
          <w:szCs w:val="28"/>
        </w:rPr>
        <w:t>decision point</w:t>
      </w:r>
      <w:r w:rsidR="00F009C6" w:rsidRPr="004A4D63">
        <w:rPr>
          <w:sz w:val="28"/>
          <w:szCs w:val="28"/>
        </w:rPr>
        <w:t>.</w:t>
      </w:r>
      <w:r w:rsidR="00A368B6" w:rsidRPr="004A4D63">
        <w:rPr>
          <w:rStyle w:val="FootnoteReference"/>
          <w:sz w:val="28"/>
          <w:szCs w:val="28"/>
        </w:rPr>
        <w:footnoteReference w:id="6"/>
      </w:r>
      <w:r w:rsidR="004154C2" w:rsidRPr="004A4D63">
        <w:rPr>
          <w:sz w:val="28"/>
          <w:szCs w:val="28"/>
        </w:rPr>
        <w:t xml:space="preserve"> </w:t>
      </w:r>
      <w:r w:rsidR="00A113FB" w:rsidRPr="004A4D63">
        <w:rPr>
          <w:sz w:val="28"/>
          <w:szCs w:val="28"/>
        </w:rPr>
        <w:t xml:space="preserve"> T</w:t>
      </w:r>
      <w:r w:rsidRPr="004A4D63">
        <w:rPr>
          <w:sz w:val="28"/>
          <w:szCs w:val="28"/>
        </w:rPr>
        <w:t xml:space="preserve">he vast majority of targets settle enforcement cases </w:t>
      </w:r>
      <w:r w:rsidR="00A113FB" w:rsidRPr="004A4D63">
        <w:rPr>
          <w:sz w:val="28"/>
          <w:szCs w:val="28"/>
        </w:rPr>
        <w:t>after the staff decides to recommend enforcement.</w:t>
      </w:r>
      <w:r w:rsidR="00D64845" w:rsidRPr="004A4D63">
        <w:rPr>
          <w:rStyle w:val="FootnoteReference"/>
          <w:sz w:val="28"/>
          <w:szCs w:val="28"/>
        </w:rPr>
        <w:footnoteReference w:id="7"/>
      </w:r>
      <w:r w:rsidRPr="004A4D63">
        <w:rPr>
          <w:sz w:val="28"/>
          <w:szCs w:val="28"/>
        </w:rPr>
        <w:t xml:space="preserve"> A settlement </w:t>
      </w:r>
      <w:r w:rsidR="007A646D" w:rsidRPr="004A4D63">
        <w:rPr>
          <w:sz w:val="28"/>
          <w:szCs w:val="28"/>
        </w:rPr>
        <w:t xml:space="preserve">usually requires </w:t>
      </w:r>
      <w:r w:rsidRPr="004A4D63">
        <w:rPr>
          <w:sz w:val="28"/>
          <w:szCs w:val="28"/>
        </w:rPr>
        <w:t xml:space="preserve">the target </w:t>
      </w:r>
      <w:r w:rsidR="007A646D" w:rsidRPr="004A4D63">
        <w:rPr>
          <w:sz w:val="28"/>
          <w:szCs w:val="28"/>
        </w:rPr>
        <w:t xml:space="preserve">to </w:t>
      </w:r>
      <w:r w:rsidRPr="004A4D63">
        <w:rPr>
          <w:sz w:val="28"/>
          <w:szCs w:val="28"/>
        </w:rPr>
        <w:t>accede to various unwelcome remedies. For those who settle</w:t>
      </w:r>
      <w:r w:rsidR="007A646D" w:rsidRPr="004A4D63">
        <w:rPr>
          <w:sz w:val="28"/>
          <w:szCs w:val="28"/>
        </w:rPr>
        <w:t xml:space="preserve"> after being charged,</w:t>
      </w:r>
      <w:r w:rsidRPr="004A4D63">
        <w:rPr>
          <w:sz w:val="28"/>
          <w:szCs w:val="28"/>
        </w:rPr>
        <w:t xml:space="preserve"> the charging decision is the only agency </w:t>
      </w:r>
      <w:r w:rsidR="007A646D" w:rsidRPr="004A4D63">
        <w:rPr>
          <w:sz w:val="28"/>
          <w:szCs w:val="28"/>
        </w:rPr>
        <w:t xml:space="preserve">decision </w:t>
      </w:r>
      <w:r w:rsidRPr="004A4D63">
        <w:rPr>
          <w:sz w:val="28"/>
          <w:szCs w:val="28"/>
        </w:rPr>
        <w:t>that matters. The charging decision will probably be announced to the public through a press release which insures adverse publicity. And, of course, an agency’s refusal to charge is equally consequential, since it may signal under</w:t>
      </w:r>
      <w:r w:rsidR="00210661" w:rsidRPr="004A4D63">
        <w:rPr>
          <w:sz w:val="28"/>
          <w:szCs w:val="28"/>
        </w:rPr>
        <w:t>-</w:t>
      </w:r>
      <w:r w:rsidRPr="004A4D63">
        <w:rPr>
          <w:sz w:val="28"/>
          <w:szCs w:val="28"/>
        </w:rPr>
        <w:t xml:space="preserve">enforcement of regulatory norms or industry capture of the agency’s enforcement mechanism.  </w:t>
      </w:r>
    </w:p>
    <w:p w14:paraId="7166831C" w14:textId="13FF9360" w:rsidR="00D64845" w:rsidRPr="004A4D63" w:rsidRDefault="00027E92" w:rsidP="0065383A">
      <w:pPr>
        <w:spacing w:line="480" w:lineRule="auto"/>
        <w:rPr>
          <w:sz w:val="28"/>
          <w:szCs w:val="28"/>
        </w:rPr>
      </w:pPr>
      <w:r w:rsidRPr="004A4D63">
        <w:rPr>
          <w:sz w:val="28"/>
          <w:szCs w:val="28"/>
        </w:rPr>
        <w:tab/>
      </w:r>
      <w:r w:rsidR="00A27361" w:rsidRPr="004A4D63">
        <w:rPr>
          <w:sz w:val="28"/>
          <w:szCs w:val="28"/>
        </w:rPr>
        <w:t>A</w:t>
      </w:r>
      <w:r w:rsidRPr="004A4D63">
        <w:rPr>
          <w:sz w:val="28"/>
          <w:szCs w:val="28"/>
        </w:rPr>
        <w:t xml:space="preserve"> target </w:t>
      </w:r>
      <w:r w:rsidR="00A27361" w:rsidRPr="004A4D63">
        <w:rPr>
          <w:sz w:val="28"/>
          <w:szCs w:val="28"/>
        </w:rPr>
        <w:t xml:space="preserve">may </w:t>
      </w:r>
      <w:r w:rsidRPr="004A4D63">
        <w:rPr>
          <w:sz w:val="28"/>
          <w:szCs w:val="28"/>
        </w:rPr>
        <w:t xml:space="preserve">decide </w:t>
      </w:r>
      <w:r w:rsidR="00A27361" w:rsidRPr="004A4D63">
        <w:rPr>
          <w:sz w:val="28"/>
          <w:szCs w:val="28"/>
        </w:rPr>
        <w:t xml:space="preserve">not to settle and </w:t>
      </w:r>
      <w:r w:rsidRPr="004A4D63">
        <w:rPr>
          <w:sz w:val="28"/>
          <w:szCs w:val="28"/>
        </w:rPr>
        <w:t xml:space="preserve">to contest the charges through the adjudicatory process of hearing </w:t>
      </w:r>
      <w:r w:rsidR="00A27361" w:rsidRPr="004A4D63">
        <w:rPr>
          <w:sz w:val="28"/>
          <w:szCs w:val="28"/>
        </w:rPr>
        <w:t xml:space="preserve">before an </w:t>
      </w:r>
      <w:r w:rsidR="00E463DC" w:rsidRPr="004A4D63">
        <w:rPr>
          <w:sz w:val="28"/>
          <w:szCs w:val="28"/>
        </w:rPr>
        <w:t>administrative law judge (</w:t>
      </w:r>
      <w:r w:rsidR="00A27361" w:rsidRPr="004A4D63">
        <w:rPr>
          <w:sz w:val="28"/>
          <w:szCs w:val="28"/>
        </w:rPr>
        <w:t>ALJ</w:t>
      </w:r>
      <w:r w:rsidR="00E463DC" w:rsidRPr="004A4D63">
        <w:rPr>
          <w:sz w:val="28"/>
          <w:szCs w:val="28"/>
        </w:rPr>
        <w:t>)</w:t>
      </w:r>
      <w:r w:rsidR="00A27361" w:rsidRPr="004A4D63">
        <w:rPr>
          <w:sz w:val="28"/>
          <w:szCs w:val="28"/>
        </w:rPr>
        <w:t xml:space="preserve"> </w:t>
      </w:r>
      <w:r w:rsidRPr="004A4D63">
        <w:rPr>
          <w:sz w:val="28"/>
          <w:szCs w:val="28"/>
        </w:rPr>
        <w:t xml:space="preserve">and appeal </w:t>
      </w:r>
      <w:r w:rsidR="00E463DC" w:rsidRPr="004A4D63">
        <w:rPr>
          <w:sz w:val="28"/>
          <w:szCs w:val="28"/>
        </w:rPr>
        <w:t xml:space="preserve"> of the ALJ decision </w:t>
      </w:r>
      <w:r w:rsidR="00A27361" w:rsidRPr="004A4D63">
        <w:rPr>
          <w:sz w:val="28"/>
          <w:szCs w:val="28"/>
        </w:rPr>
        <w:t xml:space="preserve">to </w:t>
      </w:r>
      <w:r w:rsidR="00E463DC" w:rsidRPr="004A4D63">
        <w:rPr>
          <w:sz w:val="28"/>
          <w:szCs w:val="28"/>
        </w:rPr>
        <w:t xml:space="preserve">the </w:t>
      </w:r>
      <w:r w:rsidR="00A27361" w:rsidRPr="004A4D63">
        <w:rPr>
          <w:sz w:val="28"/>
          <w:szCs w:val="28"/>
        </w:rPr>
        <w:t>agency heads.  Th</w:t>
      </w:r>
      <w:r w:rsidR="00E463DC" w:rsidRPr="004A4D63">
        <w:rPr>
          <w:sz w:val="28"/>
          <w:szCs w:val="28"/>
        </w:rPr>
        <w:t xml:space="preserve">e decision to litigate rather </w:t>
      </w:r>
      <w:r w:rsidR="00E463DC" w:rsidRPr="004A4D63">
        <w:rPr>
          <w:sz w:val="28"/>
          <w:szCs w:val="28"/>
        </w:rPr>
        <w:lastRenderedPageBreak/>
        <w:t xml:space="preserve">than settle carries with it the certainty of </w:t>
      </w:r>
      <w:r w:rsidR="00A27361" w:rsidRPr="004A4D63">
        <w:rPr>
          <w:sz w:val="28"/>
          <w:szCs w:val="28"/>
        </w:rPr>
        <w:t xml:space="preserve"> </w:t>
      </w:r>
      <w:r w:rsidRPr="004A4D63">
        <w:rPr>
          <w:sz w:val="28"/>
          <w:szCs w:val="28"/>
        </w:rPr>
        <w:t xml:space="preserve">heavy </w:t>
      </w:r>
      <w:r w:rsidR="00A27361" w:rsidRPr="004A4D63">
        <w:rPr>
          <w:sz w:val="28"/>
          <w:szCs w:val="28"/>
        </w:rPr>
        <w:t xml:space="preserve">attorneys’ </w:t>
      </w:r>
      <w:r w:rsidRPr="004A4D63">
        <w:rPr>
          <w:sz w:val="28"/>
          <w:szCs w:val="28"/>
        </w:rPr>
        <w:t xml:space="preserve">fees and </w:t>
      </w:r>
      <w:r w:rsidR="00E463DC" w:rsidRPr="004A4D63">
        <w:rPr>
          <w:sz w:val="28"/>
          <w:szCs w:val="28"/>
        </w:rPr>
        <w:t xml:space="preserve">other litigation costs, as well as </w:t>
      </w:r>
      <w:r w:rsidRPr="004A4D63">
        <w:rPr>
          <w:sz w:val="28"/>
          <w:szCs w:val="28"/>
        </w:rPr>
        <w:t>a significant drain on executives</w:t>
      </w:r>
      <w:r w:rsidR="00E463DC" w:rsidRPr="004A4D63">
        <w:rPr>
          <w:sz w:val="28"/>
          <w:szCs w:val="28"/>
        </w:rPr>
        <w:t>’ time</w:t>
      </w:r>
      <w:r w:rsidRPr="004A4D63">
        <w:rPr>
          <w:sz w:val="28"/>
          <w:szCs w:val="28"/>
        </w:rPr>
        <w:t>.  And, of course, there is a better</w:t>
      </w:r>
      <w:r w:rsidR="00A27361" w:rsidRPr="004A4D63">
        <w:rPr>
          <w:sz w:val="28"/>
          <w:szCs w:val="28"/>
        </w:rPr>
        <w:t>-</w:t>
      </w:r>
      <w:r w:rsidRPr="004A4D63">
        <w:rPr>
          <w:sz w:val="28"/>
          <w:szCs w:val="28"/>
        </w:rPr>
        <w:t>than</w:t>
      </w:r>
      <w:r w:rsidR="00A27361" w:rsidRPr="004A4D63">
        <w:rPr>
          <w:sz w:val="28"/>
          <w:szCs w:val="28"/>
        </w:rPr>
        <w:t>-</w:t>
      </w:r>
      <w:r w:rsidRPr="004A4D63">
        <w:rPr>
          <w:sz w:val="28"/>
          <w:szCs w:val="28"/>
        </w:rPr>
        <w:t xml:space="preserve">even probability that the target will lose, perhaps becoming subject to more onerous remedies than it might have settled for. Thus, the charging decision is a critical landmark in an administrative enforcement case, whether it is settled or litigated.  </w:t>
      </w:r>
      <w:r w:rsidR="00A27361" w:rsidRPr="004A4D63">
        <w:rPr>
          <w:sz w:val="28"/>
          <w:szCs w:val="28"/>
        </w:rPr>
        <w:t>Administrative c</w:t>
      </w:r>
      <w:r w:rsidRPr="004A4D63">
        <w:rPr>
          <w:sz w:val="28"/>
          <w:szCs w:val="28"/>
        </w:rPr>
        <w:t>harging decisions and prosecutorial discretion are  worthy subjects for inquiry</w:t>
      </w:r>
      <w:r w:rsidR="00A113FB" w:rsidRPr="004A4D63">
        <w:rPr>
          <w:sz w:val="28"/>
          <w:szCs w:val="28"/>
        </w:rPr>
        <w:t>,</w:t>
      </w:r>
      <w:r w:rsidRPr="004A4D63">
        <w:rPr>
          <w:sz w:val="28"/>
          <w:szCs w:val="28"/>
        </w:rPr>
        <w:t xml:space="preserve"> but </w:t>
      </w:r>
      <w:r w:rsidR="00A113FB" w:rsidRPr="004A4D63">
        <w:rPr>
          <w:sz w:val="28"/>
          <w:szCs w:val="28"/>
        </w:rPr>
        <w:t>the</w:t>
      </w:r>
      <w:r w:rsidR="00A368B6" w:rsidRPr="004A4D63">
        <w:rPr>
          <w:sz w:val="28"/>
          <w:szCs w:val="28"/>
        </w:rPr>
        <w:t xml:space="preserve">y </w:t>
      </w:r>
      <w:r w:rsidRPr="004A4D63">
        <w:rPr>
          <w:sz w:val="28"/>
          <w:szCs w:val="28"/>
        </w:rPr>
        <w:t>have been understudied.</w:t>
      </w:r>
      <w:r w:rsidR="00F34E14" w:rsidRPr="004A4D63">
        <w:rPr>
          <w:rStyle w:val="FootnoteReference"/>
          <w:sz w:val="28"/>
          <w:szCs w:val="28"/>
        </w:rPr>
        <w:footnoteReference w:id="8"/>
      </w:r>
      <w:r w:rsidRPr="004A4D63">
        <w:rPr>
          <w:sz w:val="28"/>
          <w:szCs w:val="28"/>
        </w:rPr>
        <w:tab/>
      </w:r>
    </w:p>
    <w:p w14:paraId="7380B150" w14:textId="6C104D2D" w:rsidR="003121EB" w:rsidRPr="004A4D63" w:rsidRDefault="00636857" w:rsidP="0065383A">
      <w:pPr>
        <w:spacing w:line="480" w:lineRule="auto"/>
        <w:rPr>
          <w:sz w:val="28"/>
          <w:szCs w:val="28"/>
        </w:rPr>
      </w:pPr>
      <w:r w:rsidRPr="004A4D63">
        <w:rPr>
          <w:sz w:val="28"/>
          <w:szCs w:val="28"/>
        </w:rPr>
        <w:tab/>
        <w:t xml:space="preserve">Part II of this </w:t>
      </w:r>
      <w:r w:rsidR="00D33F53" w:rsidRPr="004A4D63">
        <w:rPr>
          <w:sz w:val="28"/>
          <w:szCs w:val="28"/>
        </w:rPr>
        <w:t xml:space="preserve">article </w:t>
      </w:r>
      <w:r w:rsidRPr="004A4D63">
        <w:rPr>
          <w:sz w:val="28"/>
          <w:szCs w:val="28"/>
        </w:rPr>
        <w:t>describes the</w:t>
      </w:r>
      <w:r w:rsidR="003D4E6F" w:rsidRPr="004A4D63">
        <w:rPr>
          <w:sz w:val="28"/>
          <w:szCs w:val="28"/>
        </w:rPr>
        <w:t xml:space="preserve"> charging and greenlighting </w:t>
      </w:r>
      <w:r w:rsidR="00D64845" w:rsidRPr="004A4D63">
        <w:rPr>
          <w:sz w:val="28"/>
          <w:szCs w:val="28"/>
        </w:rPr>
        <w:t xml:space="preserve">practices of five </w:t>
      </w:r>
      <w:r w:rsidR="0089061C" w:rsidRPr="004A4D63">
        <w:rPr>
          <w:sz w:val="28"/>
          <w:szCs w:val="28"/>
        </w:rPr>
        <w:t xml:space="preserve">combined-function </w:t>
      </w:r>
      <w:r w:rsidR="00F009C6" w:rsidRPr="004A4D63">
        <w:rPr>
          <w:sz w:val="28"/>
          <w:szCs w:val="28"/>
        </w:rPr>
        <w:t xml:space="preserve">federal </w:t>
      </w:r>
      <w:r w:rsidRPr="004A4D63">
        <w:rPr>
          <w:sz w:val="28"/>
          <w:szCs w:val="28"/>
        </w:rPr>
        <w:t xml:space="preserve">agencies. Part III discusses </w:t>
      </w:r>
      <w:r w:rsidR="00D64845" w:rsidRPr="004A4D63">
        <w:rPr>
          <w:sz w:val="28"/>
          <w:szCs w:val="28"/>
        </w:rPr>
        <w:t>the costs and benefits of greenlighting</w:t>
      </w:r>
      <w:r w:rsidR="007A646D" w:rsidRPr="004A4D63">
        <w:rPr>
          <w:sz w:val="28"/>
          <w:szCs w:val="28"/>
        </w:rPr>
        <w:t>.</w:t>
      </w:r>
      <w:r w:rsidR="002A7803" w:rsidRPr="004A4D63">
        <w:rPr>
          <w:sz w:val="28"/>
          <w:szCs w:val="28"/>
        </w:rPr>
        <w:t xml:space="preserve"> </w:t>
      </w:r>
      <w:r w:rsidRPr="004A4D63">
        <w:rPr>
          <w:sz w:val="28"/>
          <w:szCs w:val="28"/>
        </w:rPr>
        <w:t xml:space="preserve">Part IV </w:t>
      </w:r>
      <w:r w:rsidR="006F5873" w:rsidRPr="004A4D63">
        <w:rPr>
          <w:sz w:val="28"/>
          <w:szCs w:val="28"/>
        </w:rPr>
        <w:t>discusses the legality of greenlighting under due process and the A</w:t>
      </w:r>
      <w:r w:rsidR="00F26229" w:rsidRPr="004A4D63">
        <w:rPr>
          <w:sz w:val="28"/>
          <w:szCs w:val="28"/>
        </w:rPr>
        <w:t>dministrative Procedure Act (A</w:t>
      </w:r>
      <w:r w:rsidR="006F5873" w:rsidRPr="004A4D63">
        <w:rPr>
          <w:sz w:val="28"/>
          <w:szCs w:val="28"/>
        </w:rPr>
        <w:t>PA</w:t>
      </w:r>
      <w:r w:rsidR="00F26229" w:rsidRPr="004A4D63">
        <w:rPr>
          <w:sz w:val="28"/>
          <w:szCs w:val="28"/>
        </w:rPr>
        <w:t>)</w:t>
      </w:r>
      <w:r w:rsidR="006F5873" w:rsidRPr="004A4D63">
        <w:rPr>
          <w:sz w:val="28"/>
          <w:szCs w:val="28"/>
        </w:rPr>
        <w:t xml:space="preserve">. Part V </w:t>
      </w:r>
      <w:r w:rsidRPr="004A4D63">
        <w:rPr>
          <w:sz w:val="28"/>
          <w:szCs w:val="28"/>
        </w:rPr>
        <w:t xml:space="preserve">discusses additional checking mechanisms </w:t>
      </w:r>
      <w:r w:rsidR="00BF6D4D" w:rsidRPr="004A4D63">
        <w:rPr>
          <w:sz w:val="28"/>
          <w:szCs w:val="28"/>
        </w:rPr>
        <w:t xml:space="preserve">and </w:t>
      </w:r>
      <w:r w:rsidR="000638F1" w:rsidRPr="004A4D63">
        <w:rPr>
          <w:sz w:val="28"/>
          <w:szCs w:val="28"/>
        </w:rPr>
        <w:t xml:space="preserve">suggests </w:t>
      </w:r>
      <w:r w:rsidR="00BF6D4D" w:rsidRPr="004A4D63">
        <w:rPr>
          <w:sz w:val="28"/>
          <w:szCs w:val="28"/>
        </w:rPr>
        <w:t xml:space="preserve">best practices for </w:t>
      </w:r>
      <w:r w:rsidR="000638F1" w:rsidRPr="004A4D63">
        <w:rPr>
          <w:sz w:val="28"/>
          <w:szCs w:val="28"/>
        </w:rPr>
        <w:t xml:space="preserve">the </w:t>
      </w:r>
      <w:r w:rsidR="00BF6D4D" w:rsidRPr="004A4D63">
        <w:rPr>
          <w:sz w:val="28"/>
          <w:szCs w:val="28"/>
        </w:rPr>
        <w:t>greenlighting</w:t>
      </w:r>
      <w:r w:rsidR="000638F1" w:rsidRPr="004A4D63">
        <w:rPr>
          <w:sz w:val="28"/>
          <w:szCs w:val="28"/>
        </w:rPr>
        <w:t xml:space="preserve"> function</w:t>
      </w:r>
      <w:r w:rsidR="00BF6D4D" w:rsidRPr="004A4D63">
        <w:rPr>
          <w:sz w:val="28"/>
          <w:szCs w:val="28"/>
        </w:rPr>
        <w:t xml:space="preserve">. </w:t>
      </w:r>
      <w:r w:rsidRPr="004A4D63">
        <w:rPr>
          <w:sz w:val="28"/>
          <w:szCs w:val="28"/>
        </w:rPr>
        <w:t>Part V</w:t>
      </w:r>
      <w:r w:rsidR="006F5873" w:rsidRPr="004A4D63">
        <w:rPr>
          <w:sz w:val="28"/>
          <w:szCs w:val="28"/>
        </w:rPr>
        <w:t>I</w:t>
      </w:r>
      <w:r w:rsidRPr="004A4D63">
        <w:rPr>
          <w:sz w:val="28"/>
          <w:szCs w:val="28"/>
        </w:rPr>
        <w:t xml:space="preserve"> </w:t>
      </w:r>
      <w:r w:rsidR="008E698A" w:rsidRPr="004A4D63">
        <w:rPr>
          <w:sz w:val="28"/>
          <w:szCs w:val="28"/>
        </w:rPr>
        <w:t xml:space="preserve">concludes. </w:t>
      </w:r>
    </w:p>
    <w:p w14:paraId="68DB96C2" w14:textId="5F8034F2" w:rsidR="003121EB" w:rsidRPr="004A4D63" w:rsidRDefault="003121EB" w:rsidP="0065383A">
      <w:pPr>
        <w:spacing w:line="480" w:lineRule="auto"/>
        <w:jc w:val="center"/>
        <w:outlineLvl w:val="0"/>
        <w:rPr>
          <w:b/>
          <w:bCs/>
          <w:sz w:val="28"/>
          <w:szCs w:val="28"/>
        </w:rPr>
      </w:pPr>
      <w:r w:rsidRPr="004A4D63">
        <w:rPr>
          <w:b/>
          <w:bCs/>
          <w:sz w:val="28"/>
          <w:szCs w:val="28"/>
        </w:rPr>
        <w:lastRenderedPageBreak/>
        <w:t xml:space="preserve">II.  THE ENFORCEMENT PROCESS IN </w:t>
      </w:r>
      <w:r w:rsidR="00B52031" w:rsidRPr="004A4D63">
        <w:rPr>
          <w:b/>
          <w:bCs/>
          <w:sz w:val="28"/>
          <w:szCs w:val="28"/>
        </w:rPr>
        <w:t xml:space="preserve">FIVE </w:t>
      </w:r>
      <w:r w:rsidRPr="004A4D63">
        <w:rPr>
          <w:b/>
          <w:bCs/>
          <w:sz w:val="28"/>
          <w:szCs w:val="28"/>
        </w:rPr>
        <w:t>COMBINED</w:t>
      </w:r>
      <w:r w:rsidR="00B52031" w:rsidRPr="004A4D63">
        <w:rPr>
          <w:b/>
          <w:bCs/>
          <w:sz w:val="28"/>
          <w:szCs w:val="28"/>
        </w:rPr>
        <w:t>-</w:t>
      </w:r>
      <w:r w:rsidRPr="004A4D63">
        <w:rPr>
          <w:b/>
          <w:bCs/>
          <w:sz w:val="28"/>
          <w:szCs w:val="28"/>
        </w:rPr>
        <w:t xml:space="preserve">FUNCTION AGENCIES </w:t>
      </w:r>
    </w:p>
    <w:p w14:paraId="115F761F" w14:textId="1F94B18A" w:rsidR="003121EB" w:rsidRPr="004A4D63" w:rsidRDefault="003121EB" w:rsidP="0065383A">
      <w:pPr>
        <w:spacing w:line="480" w:lineRule="auto"/>
        <w:rPr>
          <w:sz w:val="28"/>
          <w:szCs w:val="28"/>
        </w:rPr>
      </w:pPr>
      <w:r w:rsidRPr="004A4D63">
        <w:rPr>
          <w:sz w:val="28"/>
          <w:szCs w:val="28"/>
        </w:rPr>
        <w:tab/>
      </w:r>
      <w:r w:rsidR="008F1614" w:rsidRPr="004A4D63">
        <w:rPr>
          <w:sz w:val="28"/>
          <w:szCs w:val="28"/>
        </w:rPr>
        <w:t>I</w:t>
      </w:r>
      <w:r w:rsidRPr="004A4D63">
        <w:rPr>
          <w:sz w:val="28"/>
          <w:szCs w:val="28"/>
        </w:rPr>
        <w:t xml:space="preserve">nterviews by the author </w:t>
      </w:r>
      <w:r w:rsidR="008F1614" w:rsidRPr="004A4D63">
        <w:rPr>
          <w:sz w:val="28"/>
          <w:szCs w:val="28"/>
        </w:rPr>
        <w:t xml:space="preserve">provide the primary source of data for this article.  The interviews </w:t>
      </w:r>
      <w:r w:rsidR="006B1EC7" w:rsidRPr="004A4D63">
        <w:rPr>
          <w:sz w:val="28"/>
          <w:szCs w:val="28"/>
        </w:rPr>
        <w:t xml:space="preserve">focused on the charging practices of </w:t>
      </w:r>
      <w:r w:rsidR="00426C23" w:rsidRPr="004A4D63">
        <w:rPr>
          <w:sz w:val="28"/>
          <w:szCs w:val="28"/>
        </w:rPr>
        <w:t>five</w:t>
      </w:r>
      <w:r w:rsidRPr="004A4D63">
        <w:rPr>
          <w:sz w:val="28"/>
          <w:szCs w:val="28"/>
        </w:rPr>
        <w:t xml:space="preserve"> important federal combined-function agencies—SEC, FTC, FERC, FCC</w:t>
      </w:r>
      <w:r w:rsidR="00FE2782" w:rsidRPr="004A4D63">
        <w:rPr>
          <w:sz w:val="28"/>
          <w:szCs w:val="28"/>
        </w:rPr>
        <w:t xml:space="preserve">, </w:t>
      </w:r>
      <w:r w:rsidR="00E07936" w:rsidRPr="004A4D63">
        <w:rPr>
          <w:sz w:val="28"/>
          <w:szCs w:val="28"/>
        </w:rPr>
        <w:t>and NLRB.</w:t>
      </w:r>
      <w:r w:rsidR="00BC15CB" w:rsidRPr="004A4D63">
        <w:rPr>
          <w:sz w:val="28"/>
          <w:szCs w:val="28"/>
        </w:rPr>
        <w:t xml:space="preserve"> </w:t>
      </w:r>
      <w:r w:rsidR="00E07936" w:rsidRPr="004A4D63">
        <w:rPr>
          <w:sz w:val="28"/>
          <w:szCs w:val="28"/>
        </w:rPr>
        <w:t xml:space="preserve"> </w:t>
      </w:r>
      <w:r w:rsidR="006B1EC7" w:rsidRPr="004A4D63">
        <w:rPr>
          <w:sz w:val="28"/>
          <w:szCs w:val="28"/>
        </w:rPr>
        <w:t xml:space="preserve">I conducted </w:t>
      </w:r>
      <w:r w:rsidRPr="004A4D63">
        <w:rPr>
          <w:sz w:val="28"/>
          <w:szCs w:val="28"/>
        </w:rPr>
        <w:t>interviews with former agency heads</w:t>
      </w:r>
      <w:r w:rsidR="007741F7">
        <w:rPr>
          <w:sz w:val="28"/>
          <w:szCs w:val="28"/>
        </w:rPr>
        <w:t xml:space="preserve"> and</w:t>
      </w:r>
      <w:r w:rsidRPr="004A4D63">
        <w:rPr>
          <w:sz w:val="28"/>
          <w:szCs w:val="28"/>
        </w:rPr>
        <w:t xml:space="preserve"> former </w:t>
      </w:r>
      <w:r w:rsidR="00E07936" w:rsidRPr="004A4D63">
        <w:rPr>
          <w:sz w:val="28"/>
          <w:szCs w:val="28"/>
        </w:rPr>
        <w:t xml:space="preserve">agency staff members, </w:t>
      </w:r>
      <w:r w:rsidR="00BF3A1B" w:rsidRPr="004A4D63">
        <w:rPr>
          <w:sz w:val="28"/>
          <w:szCs w:val="28"/>
        </w:rPr>
        <w:t xml:space="preserve">as well as law </w:t>
      </w:r>
      <w:r w:rsidR="0056444C" w:rsidRPr="004A4D63">
        <w:rPr>
          <w:sz w:val="28"/>
          <w:szCs w:val="28"/>
        </w:rPr>
        <w:t xml:space="preserve">professors </w:t>
      </w:r>
      <w:r w:rsidRPr="004A4D63">
        <w:rPr>
          <w:sz w:val="28"/>
          <w:szCs w:val="28"/>
        </w:rPr>
        <w:t>and private defense lawyers</w:t>
      </w:r>
      <w:r w:rsidR="007741F7">
        <w:rPr>
          <w:sz w:val="28"/>
          <w:szCs w:val="28"/>
        </w:rPr>
        <w:t>,</w:t>
      </w:r>
      <w:r w:rsidR="00B52031" w:rsidRPr="004A4D63">
        <w:rPr>
          <w:sz w:val="28"/>
          <w:szCs w:val="28"/>
        </w:rPr>
        <w:t xml:space="preserve"> m</w:t>
      </w:r>
      <w:r w:rsidR="00BC15CB" w:rsidRPr="004A4D63">
        <w:rPr>
          <w:sz w:val="28"/>
          <w:szCs w:val="28"/>
        </w:rPr>
        <w:t xml:space="preserve">any </w:t>
      </w:r>
      <w:r w:rsidR="00B52031" w:rsidRPr="004A4D63">
        <w:rPr>
          <w:sz w:val="28"/>
          <w:szCs w:val="28"/>
        </w:rPr>
        <w:t>of whom were former</w:t>
      </w:r>
      <w:r w:rsidR="00BF3A1B" w:rsidRPr="004A4D63">
        <w:rPr>
          <w:sz w:val="28"/>
          <w:szCs w:val="28"/>
        </w:rPr>
        <w:t xml:space="preserve"> </w:t>
      </w:r>
      <w:r w:rsidR="00B52031" w:rsidRPr="004A4D63">
        <w:rPr>
          <w:sz w:val="28"/>
          <w:szCs w:val="28"/>
        </w:rPr>
        <w:t>agency heads or staff</w:t>
      </w:r>
      <w:r w:rsidRPr="004A4D63">
        <w:rPr>
          <w:sz w:val="28"/>
          <w:szCs w:val="28"/>
        </w:rPr>
        <w:t>.  I am most grateful to the</w:t>
      </w:r>
      <w:r w:rsidR="00B52031" w:rsidRPr="004A4D63">
        <w:rPr>
          <w:sz w:val="28"/>
          <w:szCs w:val="28"/>
        </w:rPr>
        <w:t>se interviewees</w:t>
      </w:r>
      <w:r w:rsidRPr="004A4D63">
        <w:rPr>
          <w:sz w:val="28"/>
          <w:szCs w:val="28"/>
        </w:rPr>
        <w:t xml:space="preserve"> </w:t>
      </w:r>
      <w:r w:rsidR="00BC15CB" w:rsidRPr="004A4D63">
        <w:rPr>
          <w:sz w:val="28"/>
          <w:szCs w:val="28"/>
        </w:rPr>
        <w:t xml:space="preserve">for serving as data sources </w:t>
      </w:r>
      <w:r w:rsidRPr="004A4D63">
        <w:rPr>
          <w:sz w:val="28"/>
          <w:szCs w:val="28"/>
        </w:rPr>
        <w:t>and I have pro</w:t>
      </w:r>
      <w:r w:rsidR="00B52031" w:rsidRPr="004A4D63">
        <w:rPr>
          <w:sz w:val="28"/>
          <w:szCs w:val="28"/>
        </w:rPr>
        <w:t xml:space="preserve">mised them </w:t>
      </w:r>
      <w:r w:rsidRPr="004A4D63">
        <w:rPr>
          <w:sz w:val="28"/>
          <w:szCs w:val="28"/>
        </w:rPr>
        <w:t>anonymity. As a result, citations to interview</w:t>
      </w:r>
      <w:r w:rsidR="006B1EC7" w:rsidRPr="004A4D63">
        <w:rPr>
          <w:sz w:val="28"/>
          <w:szCs w:val="28"/>
        </w:rPr>
        <w:t>s</w:t>
      </w:r>
      <w:r w:rsidR="00566437" w:rsidRPr="004A4D63">
        <w:rPr>
          <w:sz w:val="28"/>
          <w:szCs w:val="28"/>
        </w:rPr>
        <w:t xml:space="preserve"> </w:t>
      </w:r>
      <w:r w:rsidRPr="004A4D63">
        <w:rPr>
          <w:sz w:val="28"/>
          <w:szCs w:val="28"/>
        </w:rPr>
        <w:t xml:space="preserve">will identify the agency concerned </w:t>
      </w:r>
      <w:r w:rsidR="00C320EB" w:rsidRPr="004A4D63">
        <w:rPr>
          <w:sz w:val="28"/>
          <w:szCs w:val="28"/>
        </w:rPr>
        <w:t xml:space="preserve">and the interviewee by number but will not disclose </w:t>
      </w:r>
      <w:r w:rsidRPr="004A4D63">
        <w:rPr>
          <w:sz w:val="28"/>
          <w:szCs w:val="28"/>
        </w:rPr>
        <w:t>names</w:t>
      </w:r>
      <w:r w:rsidR="00426C23" w:rsidRPr="004A4D63">
        <w:rPr>
          <w:sz w:val="28"/>
          <w:szCs w:val="28"/>
        </w:rPr>
        <w:t xml:space="preserve"> or identifying details</w:t>
      </w:r>
      <w:r w:rsidR="00C320EB" w:rsidRPr="004A4D63">
        <w:rPr>
          <w:sz w:val="28"/>
          <w:szCs w:val="28"/>
        </w:rPr>
        <w:t>.</w:t>
      </w:r>
      <w:r w:rsidRPr="004A4D63">
        <w:rPr>
          <w:sz w:val="28"/>
          <w:szCs w:val="28"/>
        </w:rPr>
        <w:t xml:space="preserve"> </w:t>
      </w:r>
    </w:p>
    <w:p w14:paraId="2F047AE4" w14:textId="266BC217" w:rsidR="003121EB" w:rsidRPr="004A4D63" w:rsidRDefault="00B52031" w:rsidP="0065383A">
      <w:pPr>
        <w:spacing w:line="480" w:lineRule="auto"/>
        <w:rPr>
          <w:b/>
          <w:bCs/>
          <w:sz w:val="28"/>
          <w:szCs w:val="28"/>
        </w:rPr>
      </w:pPr>
      <w:r w:rsidRPr="004A4D63">
        <w:rPr>
          <w:b/>
          <w:bCs/>
          <w:sz w:val="28"/>
          <w:szCs w:val="28"/>
        </w:rPr>
        <w:t xml:space="preserve">A. SECURITIES AND EXCHANGE COMMISSION </w:t>
      </w:r>
      <w:r w:rsidR="00566437" w:rsidRPr="004A4D63">
        <w:rPr>
          <w:b/>
          <w:bCs/>
          <w:sz w:val="28"/>
          <w:szCs w:val="28"/>
        </w:rPr>
        <w:t>(SEC)</w:t>
      </w:r>
      <w:r w:rsidR="003121EB" w:rsidRPr="004A4D63">
        <w:rPr>
          <w:b/>
          <w:bCs/>
          <w:sz w:val="28"/>
          <w:szCs w:val="28"/>
        </w:rPr>
        <w:t xml:space="preserve"> </w:t>
      </w:r>
    </w:p>
    <w:p w14:paraId="2FF38323" w14:textId="21991C6C" w:rsidR="003121EB" w:rsidRPr="004A4D63" w:rsidRDefault="003121EB" w:rsidP="00FC1C17">
      <w:pPr>
        <w:spacing w:line="480" w:lineRule="auto"/>
        <w:rPr>
          <w:sz w:val="28"/>
          <w:szCs w:val="28"/>
        </w:rPr>
      </w:pPr>
      <w:r w:rsidRPr="004A4D63">
        <w:rPr>
          <w:sz w:val="28"/>
          <w:szCs w:val="28"/>
        </w:rPr>
        <w:tab/>
      </w:r>
      <w:r w:rsidR="00DA0AE8" w:rsidRPr="004A4D63">
        <w:rPr>
          <w:sz w:val="28"/>
          <w:szCs w:val="28"/>
        </w:rPr>
        <w:t>T</w:t>
      </w:r>
      <w:r w:rsidR="00566437" w:rsidRPr="004A4D63">
        <w:rPr>
          <w:sz w:val="28"/>
          <w:szCs w:val="28"/>
        </w:rPr>
        <w:t>he SEC</w:t>
      </w:r>
      <w:r w:rsidR="00C93A6B">
        <w:rPr>
          <w:sz w:val="28"/>
          <w:szCs w:val="28"/>
        </w:rPr>
        <w:t xml:space="preserve"> </w:t>
      </w:r>
      <w:r w:rsidR="00DA0AE8" w:rsidRPr="004A4D63">
        <w:rPr>
          <w:sz w:val="28"/>
          <w:szCs w:val="28"/>
        </w:rPr>
        <w:t xml:space="preserve">can </w:t>
      </w:r>
      <w:r w:rsidRPr="004A4D63">
        <w:rPr>
          <w:sz w:val="28"/>
          <w:szCs w:val="28"/>
        </w:rPr>
        <w:t xml:space="preserve">impose significant monetary sanctions </w:t>
      </w:r>
      <w:r w:rsidR="001B04B8" w:rsidRPr="004A4D63">
        <w:rPr>
          <w:sz w:val="28"/>
          <w:szCs w:val="28"/>
        </w:rPr>
        <w:t xml:space="preserve">on </w:t>
      </w:r>
      <w:r w:rsidRPr="004A4D63">
        <w:rPr>
          <w:sz w:val="28"/>
          <w:szCs w:val="28"/>
        </w:rPr>
        <w:t>persons who violate the securities laws.</w:t>
      </w:r>
      <w:r w:rsidRPr="004A4D63">
        <w:rPr>
          <w:rStyle w:val="FootnoteReference"/>
          <w:sz w:val="28"/>
          <w:szCs w:val="28"/>
        </w:rPr>
        <w:footnoteReference w:id="9"/>
      </w:r>
      <w:r w:rsidRPr="004A4D63">
        <w:rPr>
          <w:sz w:val="28"/>
          <w:szCs w:val="28"/>
        </w:rPr>
        <w:t xml:space="preserve"> </w:t>
      </w:r>
      <w:r w:rsidR="00FC1C17" w:rsidRPr="004A4D63">
        <w:rPr>
          <w:sz w:val="28"/>
          <w:szCs w:val="28"/>
        </w:rPr>
        <w:t xml:space="preserve"> T</w:t>
      </w:r>
      <w:r w:rsidRPr="004A4D63">
        <w:rPr>
          <w:sz w:val="28"/>
          <w:szCs w:val="28"/>
        </w:rPr>
        <w:t xml:space="preserve">he SEC litigates the majority of enforcement cases </w:t>
      </w:r>
      <w:r w:rsidR="00BC15CB" w:rsidRPr="004A4D63">
        <w:rPr>
          <w:sz w:val="28"/>
          <w:szCs w:val="28"/>
        </w:rPr>
        <w:t xml:space="preserve">through </w:t>
      </w:r>
      <w:r w:rsidR="00B60215" w:rsidRPr="004A4D63">
        <w:rPr>
          <w:sz w:val="28"/>
          <w:szCs w:val="28"/>
        </w:rPr>
        <w:t xml:space="preserve">in-house </w:t>
      </w:r>
      <w:r w:rsidR="00BC15CB" w:rsidRPr="004A4D63">
        <w:rPr>
          <w:sz w:val="28"/>
          <w:szCs w:val="28"/>
        </w:rPr>
        <w:t xml:space="preserve">administrative litigation </w:t>
      </w:r>
      <w:r w:rsidRPr="004A4D63">
        <w:rPr>
          <w:sz w:val="28"/>
          <w:szCs w:val="28"/>
        </w:rPr>
        <w:t xml:space="preserve">rather than by seeking relief in federal courts, since the </w:t>
      </w:r>
      <w:r w:rsidR="00BC15CB" w:rsidRPr="004A4D63">
        <w:rPr>
          <w:sz w:val="28"/>
          <w:szCs w:val="28"/>
        </w:rPr>
        <w:t xml:space="preserve">available </w:t>
      </w:r>
      <w:r w:rsidR="002F22DB" w:rsidRPr="004A4D63">
        <w:rPr>
          <w:sz w:val="28"/>
          <w:szCs w:val="28"/>
        </w:rPr>
        <w:t xml:space="preserve">monetary </w:t>
      </w:r>
      <w:r w:rsidRPr="004A4D63">
        <w:rPr>
          <w:sz w:val="28"/>
          <w:szCs w:val="28"/>
        </w:rPr>
        <w:t>remedies are the same in either venue</w:t>
      </w:r>
      <w:r w:rsidR="00367838" w:rsidRPr="004A4D63">
        <w:rPr>
          <w:sz w:val="28"/>
          <w:szCs w:val="28"/>
        </w:rPr>
        <w:t>.</w:t>
      </w:r>
      <w:r w:rsidRPr="004A4D63">
        <w:rPr>
          <w:rStyle w:val="FootnoteReference"/>
          <w:sz w:val="28"/>
          <w:szCs w:val="28"/>
        </w:rPr>
        <w:footnoteReference w:id="10"/>
      </w:r>
      <w:r w:rsidR="00D33F53" w:rsidRPr="004A4D63">
        <w:rPr>
          <w:sz w:val="28"/>
          <w:szCs w:val="28"/>
        </w:rPr>
        <w:t xml:space="preserve">  A recent case decided by the Fifth Circuit </w:t>
      </w:r>
      <w:r w:rsidR="00B60215" w:rsidRPr="004A4D63">
        <w:rPr>
          <w:sz w:val="28"/>
          <w:szCs w:val="28"/>
        </w:rPr>
        <w:t xml:space="preserve">invalidates SEC in-house adjudication of civil </w:t>
      </w:r>
      <w:r w:rsidR="00B60215" w:rsidRPr="004A4D63">
        <w:rPr>
          <w:sz w:val="28"/>
          <w:szCs w:val="28"/>
        </w:rPr>
        <w:lastRenderedPageBreak/>
        <w:t>money penalt</w:t>
      </w:r>
      <w:r w:rsidR="00BF79C4" w:rsidRPr="004A4D63">
        <w:rPr>
          <w:sz w:val="28"/>
          <w:szCs w:val="28"/>
        </w:rPr>
        <w:t xml:space="preserve">y cases. </w:t>
      </w:r>
      <w:r w:rsidR="00D33F53" w:rsidRPr="004A4D63">
        <w:rPr>
          <w:sz w:val="28"/>
          <w:szCs w:val="28"/>
        </w:rPr>
        <w:t xml:space="preserve"> </w:t>
      </w:r>
      <w:r w:rsidR="00D33F53" w:rsidRPr="004A4D63">
        <w:rPr>
          <w:i/>
          <w:iCs/>
          <w:sz w:val="28"/>
          <w:szCs w:val="28"/>
        </w:rPr>
        <w:t>Jarkesy v. SEC</w:t>
      </w:r>
      <w:r w:rsidR="002B4E99" w:rsidRPr="004A4D63">
        <w:rPr>
          <w:rStyle w:val="FootnoteReference"/>
          <w:sz w:val="28"/>
          <w:szCs w:val="28"/>
        </w:rPr>
        <w:footnoteReference w:id="11"/>
      </w:r>
      <w:r w:rsidR="00D33F53" w:rsidRPr="004A4D63">
        <w:rPr>
          <w:i/>
          <w:iCs/>
          <w:sz w:val="28"/>
          <w:szCs w:val="28"/>
        </w:rPr>
        <w:t xml:space="preserve"> </w:t>
      </w:r>
      <w:r w:rsidR="00D33F53" w:rsidRPr="004A4D63">
        <w:rPr>
          <w:sz w:val="28"/>
          <w:szCs w:val="28"/>
        </w:rPr>
        <w:t xml:space="preserve">holds that in-house SEC </w:t>
      </w:r>
      <w:r w:rsidR="00E30921" w:rsidRPr="004A4D63">
        <w:rPr>
          <w:sz w:val="28"/>
          <w:szCs w:val="28"/>
        </w:rPr>
        <w:t xml:space="preserve">enforcement of civil penalties </w:t>
      </w:r>
      <w:r w:rsidR="00D33F53" w:rsidRPr="004A4D63">
        <w:rPr>
          <w:sz w:val="28"/>
          <w:szCs w:val="28"/>
        </w:rPr>
        <w:t xml:space="preserve">violates the target’s right to jury trial; that the agency’s ability to choose between in-house enforcement and federal court enforcement is an invalid delegation of legislative power; and that SEC ALJs are unconstitutionally protected from removal without cause.  </w:t>
      </w:r>
      <w:r w:rsidR="00175883" w:rsidRPr="004A4D63">
        <w:rPr>
          <w:sz w:val="28"/>
          <w:szCs w:val="28"/>
        </w:rPr>
        <w:t>T</w:t>
      </w:r>
      <w:r w:rsidR="00D33F53" w:rsidRPr="004A4D63">
        <w:rPr>
          <w:sz w:val="28"/>
          <w:szCs w:val="28"/>
        </w:rPr>
        <w:t xml:space="preserve">he </w:t>
      </w:r>
      <w:r w:rsidR="00D33F53" w:rsidRPr="004A4D63">
        <w:rPr>
          <w:i/>
          <w:iCs/>
          <w:sz w:val="28"/>
          <w:szCs w:val="28"/>
        </w:rPr>
        <w:t>Jarkesy</w:t>
      </w:r>
      <w:r w:rsidR="00D33F53" w:rsidRPr="004A4D63">
        <w:rPr>
          <w:sz w:val="28"/>
          <w:szCs w:val="28"/>
        </w:rPr>
        <w:t xml:space="preserve"> </w:t>
      </w:r>
      <w:r w:rsidR="00B60215" w:rsidRPr="004A4D63">
        <w:rPr>
          <w:sz w:val="28"/>
          <w:szCs w:val="28"/>
        </w:rPr>
        <w:t>decision</w:t>
      </w:r>
      <w:r w:rsidR="00FC1C17" w:rsidRPr="004A4D63">
        <w:rPr>
          <w:sz w:val="28"/>
          <w:szCs w:val="28"/>
        </w:rPr>
        <w:t xml:space="preserve"> will </w:t>
      </w:r>
      <w:r w:rsidR="00D33F53" w:rsidRPr="004A4D63">
        <w:rPr>
          <w:sz w:val="28"/>
          <w:szCs w:val="28"/>
        </w:rPr>
        <w:t xml:space="preserve">prevent the SEC from </w:t>
      </w:r>
      <w:r w:rsidR="00BF79C4" w:rsidRPr="004A4D63">
        <w:rPr>
          <w:sz w:val="28"/>
          <w:szCs w:val="28"/>
        </w:rPr>
        <w:t xml:space="preserve">imposing </w:t>
      </w:r>
      <w:r w:rsidR="00B60215" w:rsidRPr="004A4D63">
        <w:rPr>
          <w:sz w:val="28"/>
          <w:szCs w:val="28"/>
        </w:rPr>
        <w:t>civil money penalties through the use of in-house adjudication</w:t>
      </w:r>
      <w:r w:rsidR="00175883" w:rsidRPr="004A4D63">
        <w:rPr>
          <w:sz w:val="28"/>
          <w:szCs w:val="28"/>
        </w:rPr>
        <w:t xml:space="preserve">;  some of its reasoning </w:t>
      </w:r>
      <w:r w:rsidR="00D33F53" w:rsidRPr="004A4D63">
        <w:rPr>
          <w:sz w:val="28"/>
          <w:szCs w:val="28"/>
        </w:rPr>
        <w:t>threaten</w:t>
      </w:r>
      <w:r w:rsidR="00E30921" w:rsidRPr="004A4D63">
        <w:rPr>
          <w:sz w:val="28"/>
          <w:szCs w:val="28"/>
        </w:rPr>
        <w:t>s</w:t>
      </w:r>
      <w:r w:rsidR="00D33F53" w:rsidRPr="004A4D63">
        <w:rPr>
          <w:sz w:val="28"/>
          <w:szCs w:val="28"/>
        </w:rPr>
        <w:t xml:space="preserve"> all federal agency </w:t>
      </w:r>
      <w:r w:rsidR="00B60215" w:rsidRPr="004A4D63">
        <w:rPr>
          <w:sz w:val="28"/>
          <w:szCs w:val="28"/>
        </w:rPr>
        <w:t xml:space="preserve">in-house </w:t>
      </w:r>
      <w:r w:rsidR="00D33F53" w:rsidRPr="004A4D63">
        <w:rPr>
          <w:sz w:val="28"/>
          <w:szCs w:val="28"/>
        </w:rPr>
        <w:t xml:space="preserve">enforcement litigation. The article proceeds as though </w:t>
      </w:r>
      <w:r w:rsidR="00D33F53" w:rsidRPr="004A4D63">
        <w:rPr>
          <w:i/>
          <w:iCs/>
          <w:sz w:val="28"/>
          <w:szCs w:val="28"/>
        </w:rPr>
        <w:t>Jarkesy</w:t>
      </w:r>
      <w:r w:rsidR="00D33F53" w:rsidRPr="004A4D63">
        <w:rPr>
          <w:sz w:val="28"/>
          <w:szCs w:val="28"/>
        </w:rPr>
        <w:t xml:space="preserve"> will </w:t>
      </w:r>
      <w:r w:rsidR="008C3C0B">
        <w:rPr>
          <w:sz w:val="28"/>
          <w:szCs w:val="28"/>
        </w:rPr>
        <w:t xml:space="preserve">not be followed in other circuits and will eventually </w:t>
      </w:r>
      <w:r w:rsidR="00D33F53" w:rsidRPr="004A4D63">
        <w:rPr>
          <w:sz w:val="28"/>
          <w:szCs w:val="28"/>
        </w:rPr>
        <w:t xml:space="preserve">be overturned </w:t>
      </w:r>
      <w:r w:rsidR="00BF79C4" w:rsidRPr="004A4D63">
        <w:rPr>
          <w:sz w:val="28"/>
          <w:szCs w:val="28"/>
        </w:rPr>
        <w:t xml:space="preserve">by the Supreme Court. </w:t>
      </w:r>
    </w:p>
    <w:p w14:paraId="4503FBF4" w14:textId="19C92996" w:rsidR="00E07936" w:rsidRPr="004A4D63" w:rsidRDefault="003121EB" w:rsidP="0065383A">
      <w:pPr>
        <w:spacing w:line="480" w:lineRule="auto"/>
        <w:rPr>
          <w:sz w:val="28"/>
          <w:szCs w:val="28"/>
        </w:rPr>
      </w:pPr>
      <w:r w:rsidRPr="004A4D63">
        <w:rPr>
          <w:sz w:val="28"/>
          <w:szCs w:val="28"/>
        </w:rPr>
        <w:tab/>
        <w:t xml:space="preserve">The enforcement process begins with investigation </w:t>
      </w:r>
      <w:r w:rsidR="00ED5C49" w:rsidRPr="004A4D63">
        <w:rPr>
          <w:sz w:val="28"/>
          <w:szCs w:val="28"/>
        </w:rPr>
        <w:t xml:space="preserve">of a target </w:t>
      </w:r>
      <w:r w:rsidRPr="004A4D63">
        <w:rPr>
          <w:sz w:val="28"/>
          <w:szCs w:val="28"/>
        </w:rPr>
        <w:t>by the Enforcement Division</w:t>
      </w:r>
      <w:r w:rsidR="00FE784C" w:rsidRPr="004A4D63">
        <w:rPr>
          <w:sz w:val="28"/>
          <w:szCs w:val="28"/>
        </w:rPr>
        <w:t xml:space="preserve"> (ED)</w:t>
      </w:r>
      <w:r w:rsidRPr="004A4D63">
        <w:rPr>
          <w:sz w:val="28"/>
          <w:szCs w:val="28"/>
        </w:rPr>
        <w:t xml:space="preserve">. The investigators </w:t>
      </w:r>
      <w:r w:rsidR="00566437" w:rsidRPr="004A4D63">
        <w:rPr>
          <w:sz w:val="28"/>
          <w:szCs w:val="28"/>
        </w:rPr>
        <w:t xml:space="preserve">can </w:t>
      </w:r>
      <w:r w:rsidRPr="004A4D63">
        <w:rPr>
          <w:sz w:val="28"/>
          <w:szCs w:val="28"/>
        </w:rPr>
        <w:t xml:space="preserve">initiate investigations and issue subpoenas without </w:t>
      </w:r>
      <w:r w:rsidR="00BC15CB" w:rsidRPr="004A4D63">
        <w:rPr>
          <w:sz w:val="28"/>
          <w:szCs w:val="28"/>
        </w:rPr>
        <w:t xml:space="preserve">agency-head </w:t>
      </w:r>
      <w:r w:rsidRPr="004A4D63">
        <w:rPr>
          <w:sz w:val="28"/>
          <w:szCs w:val="28"/>
        </w:rPr>
        <w:t>approval.</w:t>
      </w:r>
      <w:r w:rsidRPr="004A4D63">
        <w:rPr>
          <w:rStyle w:val="FootnoteReference"/>
          <w:sz w:val="28"/>
          <w:szCs w:val="28"/>
        </w:rPr>
        <w:footnoteReference w:id="12"/>
      </w:r>
      <w:r w:rsidRPr="004A4D63">
        <w:rPr>
          <w:sz w:val="28"/>
          <w:szCs w:val="28"/>
        </w:rPr>
        <w:t xml:space="preserve"> After </w:t>
      </w:r>
      <w:r w:rsidR="00566437" w:rsidRPr="004A4D63">
        <w:rPr>
          <w:sz w:val="28"/>
          <w:szCs w:val="28"/>
        </w:rPr>
        <w:t xml:space="preserve">ED </w:t>
      </w:r>
      <w:r w:rsidRPr="004A4D63">
        <w:rPr>
          <w:sz w:val="28"/>
          <w:szCs w:val="28"/>
        </w:rPr>
        <w:t>make</w:t>
      </w:r>
      <w:r w:rsidR="00566437" w:rsidRPr="004A4D63">
        <w:rPr>
          <w:sz w:val="28"/>
          <w:szCs w:val="28"/>
        </w:rPr>
        <w:t>s</w:t>
      </w:r>
      <w:r w:rsidRPr="004A4D63">
        <w:rPr>
          <w:sz w:val="28"/>
          <w:szCs w:val="28"/>
        </w:rPr>
        <w:t xml:space="preserve"> a preliminary determination that </w:t>
      </w:r>
      <w:r w:rsidR="00BC15CB" w:rsidRPr="004A4D63">
        <w:rPr>
          <w:sz w:val="28"/>
          <w:szCs w:val="28"/>
        </w:rPr>
        <w:t xml:space="preserve">the </w:t>
      </w:r>
      <w:r w:rsidR="00FE784C" w:rsidRPr="004A4D63">
        <w:rPr>
          <w:sz w:val="28"/>
          <w:szCs w:val="28"/>
        </w:rPr>
        <w:t xml:space="preserve">facts justify a charging decision, </w:t>
      </w:r>
      <w:r w:rsidR="00566437" w:rsidRPr="004A4D63">
        <w:rPr>
          <w:sz w:val="28"/>
          <w:szCs w:val="28"/>
        </w:rPr>
        <w:t xml:space="preserve">it </w:t>
      </w:r>
      <w:r w:rsidRPr="004A4D63">
        <w:rPr>
          <w:sz w:val="28"/>
          <w:szCs w:val="28"/>
        </w:rPr>
        <w:t>generate</w:t>
      </w:r>
      <w:r w:rsidR="00DA0AE8" w:rsidRPr="004A4D63">
        <w:rPr>
          <w:sz w:val="28"/>
          <w:szCs w:val="28"/>
        </w:rPr>
        <w:t>s</w:t>
      </w:r>
      <w:r w:rsidRPr="004A4D63">
        <w:rPr>
          <w:sz w:val="28"/>
          <w:szCs w:val="28"/>
        </w:rPr>
        <w:t xml:space="preserve"> a detailed “Wells notice” that summarize</w:t>
      </w:r>
      <w:r w:rsidR="00A80C51" w:rsidRPr="004A4D63">
        <w:rPr>
          <w:sz w:val="28"/>
          <w:szCs w:val="28"/>
        </w:rPr>
        <w:t>s</w:t>
      </w:r>
      <w:r w:rsidRPr="004A4D63">
        <w:rPr>
          <w:sz w:val="28"/>
          <w:szCs w:val="28"/>
        </w:rPr>
        <w:t xml:space="preserve"> </w:t>
      </w:r>
      <w:r w:rsidR="00566437" w:rsidRPr="004A4D63">
        <w:rPr>
          <w:sz w:val="28"/>
          <w:szCs w:val="28"/>
        </w:rPr>
        <w:t xml:space="preserve">its </w:t>
      </w:r>
      <w:r w:rsidRPr="004A4D63">
        <w:rPr>
          <w:sz w:val="28"/>
          <w:szCs w:val="28"/>
        </w:rPr>
        <w:t xml:space="preserve">conclusions and recommendations. The target </w:t>
      </w:r>
      <w:r w:rsidR="001434C0" w:rsidRPr="004A4D63">
        <w:rPr>
          <w:sz w:val="28"/>
          <w:szCs w:val="28"/>
        </w:rPr>
        <w:t xml:space="preserve">can </w:t>
      </w:r>
      <w:r w:rsidRPr="004A4D63">
        <w:rPr>
          <w:sz w:val="28"/>
          <w:szCs w:val="28"/>
        </w:rPr>
        <w:t>then file a detailed “Wells submission” in response to the Wells notice.</w:t>
      </w:r>
      <w:r w:rsidRPr="004A4D63">
        <w:rPr>
          <w:rStyle w:val="FootnoteReference"/>
          <w:sz w:val="28"/>
          <w:szCs w:val="28"/>
        </w:rPr>
        <w:footnoteReference w:id="13"/>
      </w:r>
      <w:r w:rsidRPr="004A4D63">
        <w:rPr>
          <w:sz w:val="28"/>
          <w:szCs w:val="28"/>
        </w:rPr>
        <w:t xml:space="preserve"> </w:t>
      </w:r>
      <w:r w:rsidR="00E07936" w:rsidRPr="004A4D63">
        <w:rPr>
          <w:sz w:val="28"/>
          <w:szCs w:val="28"/>
        </w:rPr>
        <w:t xml:space="preserve"> </w:t>
      </w:r>
    </w:p>
    <w:p w14:paraId="49142471" w14:textId="42ED1007" w:rsidR="003121EB" w:rsidRPr="004A4D63" w:rsidRDefault="00E07936" w:rsidP="0065383A">
      <w:pPr>
        <w:spacing w:line="480" w:lineRule="auto"/>
        <w:rPr>
          <w:sz w:val="28"/>
          <w:szCs w:val="28"/>
        </w:rPr>
      </w:pPr>
      <w:r w:rsidRPr="004A4D63">
        <w:rPr>
          <w:sz w:val="28"/>
          <w:szCs w:val="28"/>
        </w:rPr>
        <w:lastRenderedPageBreak/>
        <w:tab/>
      </w:r>
      <w:r w:rsidR="00566437" w:rsidRPr="004A4D63">
        <w:rPr>
          <w:sz w:val="28"/>
          <w:szCs w:val="28"/>
        </w:rPr>
        <w:t>T</w:t>
      </w:r>
      <w:r w:rsidR="003121EB" w:rsidRPr="004A4D63">
        <w:rPr>
          <w:sz w:val="28"/>
          <w:szCs w:val="28"/>
        </w:rPr>
        <w:t>he Dodd</w:t>
      </w:r>
      <w:r w:rsidR="00BF79C4" w:rsidRPr="004A4D63">
        <w:rPr>
          <w:sz w:val="28"/>
          <w:szCs w:val="28"/>
        </w:rPr>
        <w:t>-</w:t>
      </w:r>
      <w:r w:rsidR="003121EB" w:rsidRPr="004A4D63">
        <w:rPr>
          <w:sz w:val="28"/>
          <w:szCs w:val="28"/>
        </w:rPr>
        <w:t>Frank Act require</w:t>
      </w:r>
      <w:r w:rsidR="00651537" w:rsidRPr="004A4D63">
        <w:rPr>
          <w:sz w:val="28"/>
          <w:szCs w:val="28"/>
        </w:rPr>
        <w:t>s</w:t>
      </w:r>
      <w:r w:rsidR="003121EB" w:rsidRPr="004A4D63">
        <w:rPr>
          <w:sz w:val="28"/>
          <w:szCs w:val="28"/>
        </w:rPr>
        <w:t xml:space="preserve"> the Commission </w:t>
      </w:r>
      <w:r w:rsidRPr="004A4D63">
        <w:rPr>
          <w:sz w:val="28"/>
          <w:szCs w:val="28"/>
        </w:rPr>
        <w:t xml:space="preserve">to issue a complaint </w:t>
      </w:r>
      <w:r w:rsidR="003121EB" w:rsidRPr="004A4D63">
        <w:rPr>
          <w:sz w:val="28"/>
          <w:szCs w:val="28"/>
        </w:rPr>
        <w:t>within 180 days of issuing a Wells notice</w:t>
      </w:r>
      <w:r w:rsidR="00651537" w:rsidRPr="004A4D63">
        <w:rPr>
          <w:sz w:val="28"/>
          <w:szCs w:val="28"/>
        </w:rPr>
        <w:t>.</w:t>
      </w:r>
      <w:r w:rsidR="003121EB" w:rsidRPr="004A4D63">
        <w:rPr>
          <w:rStyle w:val="FootnoteReference"/>
          <w:sz w:val="28"/>
          <w:szCs w:val="28"/>
        </w:rPr>
        <w:footnoteReference w:id="14"/>
      </w:r>
      <w:r w:rsidR="00C92857" w:rsidRPr="004A4D63">
        <w:rPr>
          <w:sz w:val="28"/>
          <w:szCs w:val="28"/>
        </w:rPr>
        <w:t xml:space="preserve"> </w:t>
      </w:r>
      <w:r w:rsidR="00651537" w:rsidRPr="004A4D63">
        <w:rPr>
          <w:sz w:val="28"/>
          <w:szCs w:val="28"/>
        </w:rPr>
        <w:t xml:space="preserve">As a result, the staff now frequently dispenses with the Wells </w:t>
      </w:r>
      <w:r w:rsidR="008037B1" w:rsidRPr="004A4D63">
        <w:rPr>
          <w:sz w:val="28"/>
          <w:szCs w:val="28"/>
        </w:rPr>
        <w:t>procedure</w:t>
      </w:r>
      <w:r w:rsidR="00651537" w:rsidRPr="004A4D63">
        <w:rPr>
          <w:sz w:val="28"/>
          <w:szCs w:val="28"/>
        </w:rPr>
        <w:t>.</w:t>
      </w:r>
      <w:r w:rsidR="00BC15CB" w:rsidRPr="004A4D63">
        <w:rPr>
          <w:sz w:val="28"/>
          <w:szCs w:val="28"/>
        </w:rPr>
        <w:t xml:space="preserve"> Another reason </w:t>
      </w:r>
      <w:r w:rsidR="001434C0" w:rsidRPr="004A4D63">
        <w:rPr>
          <w:sz w:val="28"/>
          <w:szCs w:val="28"/>
        </w:rPr>
        <w:t xml:space="preserve">the </w:t>
      </w:r>
      <w:r w:rsidR="006253C8" w:rsidRPr="004A4D63">
        <w:rPr>
          <w:sz w:val="28"/>
          <w:szCs w:val="28"/>
        </w:rPr>
        <w:t xml:space="preserve">staff </w:t>
      </w:r>
      <w:r w:rsidR="001434C0" w:rsidRPr="004A4D63">
        <w:rPr>
          <w:sz w:val="28"/>
          <w:szCs w:val="28"/>
        </w:rPr>
        <w:t xml:space="preserve"> might </w:t>
      </w:r>
      <w:r w:rsidR="006253C8" w:rsidRPr="004A4D63">
        <w:rPr>
          <w:sz w:val="28"/>
          <w:szCs w:val="28"/>
        </w:rPr>
        <w:t xml:space="preserve">not utilize </w:t>
      </w:r>
      <w:r w:rsidR="00BC15CB" w:rsidRPr="004A4D63">
        <w:rPr>
          <w:sz w:val="28"/>
          <w:szCs w:val="28"/>
        </w:rPr>
        <w:t xml:space="preserve">the Wells notice is that public companies believe they must disclose issuance of a Wells notice and therefore prefer to avoid it. </w:t>
      </w:r>
      <w:r w:rsidR="00651537" w:rsidRPr="004A4D63">
        <w:rPr>
          <w:sz w:val="28"/>
          <w:szCs w:val="28"/>
        </w:rPr>
        <w:t>I</w:t>
      </w:r>
      <w:r w:rsidR="006253C8" w:rsidRPr="004A4D63">
        <w:rPr>
          <w:sz w:val="28"/>
          <w:szCs w:val="28"/>
        </w:rPr>
        <w:t xml:space="preserve">f the Wells notice is omitted, </w:t>
      </w:r>
      <w:r w:rsidR="003121EB" w:rsidRPr="004A4D63">
        <w:rPr>
          <w:sz w:val="28"/>
          <w:szCs w:val="28"/>
        </w:rPr>
        <w:t>the staff communicate</w:t>
      </w:r>
      <w:r w:rsidR="00C92857" w:rsidRPr="004A4D63">
        <w:rPr>
          <w:sz w:val="28"/>
          <w:szCs w:val="28"/>
        </w:rPr>
        <w:t>s</w:t>
      </w:r>
      <w:r w:rsidR="003121EB" w:rsidRPr="004A4D63">
        <w:rPr>
          <w:sz w:val="28"/>
          <w:szCs w:val="28"/>
        </w:rPr>
        <w:t xml:space="preserve"> its intention to recommend issuance of a complaint via an informal </w:t>
      </w:r>
      <w:r w:rsidR="0071566E" w:rsidRPr="004A4D63">
        <w:rPr>
          <w:sz w:val="28"/>
          <w:szCs w:val="28"/>
        </w:rPr>
        <w:t xml:space="preserve">memo or </w:t>
      </w:r>
      <w:r w:rsidR="003121EB" w:rsidRPr="004A4D63">
        <w:rPr>
          <w:sz w:val="28"/>
          <w:szCs w:val="28"/>
        </w:rPr>
        <w:t xml:space="preserve">phone call </w:t>
      </w:r>
      <w:r w:rsidR="0071566E" w:rsidRPr="004A4D63">
        <w:rPr>
          <w:sz w:val="28"/>
          <w:szCs w:val="28"/>
        </w:rPr>
        <w:t xml:space="preserve">and </w:t>
      </w:r>
      <w:r w:rsidR="003121EB" w:rsidRPr="004A4D63">
        <w:rPr>
          <w:sz w:val="28"/>
          <w:szCs w:val="28"/>
        </w:rPr>
        <w:t>the target can respond with a “white paper.”</w:t>
      </w:r>
      <w:r w:rsidR="003121EB" w:rsidRPr="004A4D63">
        <w:rPr>
          <w:rStyle w:val="FootnoteReference"/>
          <w:sz w:val="28"/>
          <w:szCs w:val="28"/>
        </w:rPr>
        <w:footnoteReference w:id="15"/>
      </w:r>
      <w:r w:rsidR="003121EB" w:rsidRPr="004A4D63">
        <w:rPr>
          <w:sz w:val="28"/>
          <w:szCs w:val="28"/>
        </w:rPr>
        <w:t xml:space="preserve"> </w:t>
      </w:r>
      <w:r w:rsidR="00651537" w:rsidRPr="004A4D63">
        <w:rPr>
          <w:sz w:val="28"/>
          <w:szCs w:val="28"/>
        </w:rPr>
        <w:t xml:space="preserve">Under </w:t>
      </w:r>
      <w:r w:rsidR="00566437" w:rsidRPr="004A4D63">
        <w:rPr>
          <w:sz w:val="28"/>
          <w:szCs w:val="28"/>
        </w:rPr>
        <w:t xml:space="preserve">either </w:t>
      </w:r>
      <w:r w:rsidR="00651537" w:rsidRPr="004A4D63">
        <w:rPr>
          <w:sz w:val="28"/>
          <w:szCs w:val="28"/>
        </w:rPr>
        <w:t>procedure, t</w:t>
      </w:r>
      <w:r w:rsidR="003121EB" w:rsidRPr="004A4D63">
        <w:rPr>
          <w:sz w:val="28"/>
          <w:szCs w:val="28"/>
        </w:rPr>
        <w:t xml:space="preserve">argets may request access to the Commission’s investigative file and staff has discretion to </w:t>
      </w:r>
      <w:r w:rsidR="00C92857" w:rsidRPr="004A4D63">
        <w:rPr>
          <w:sz w:val="28"/>
          <w:szCs w:val="28"/>
        </w:rPr>
        <w:t xml:space="preserve">disclose information that will </w:t>
      </w:r>
      <w:r w:rsidR="00566437" w:rsidRPr="004A4D63">
        <w:rPr>
          <w:sz w:val="28"/>
          <w:szCs w:val="28"/>
        </w:rPr>
        <w:t xml:space="preserve">assist </w:t>
      </w:r>
      <w:r w:rsidR="00C92857" w:rsidRPr="004A4D63">
        <w:rPr>
          <w:sz w:val="28"/>
          <w:szCs w:val="28"/>
        </w:rPr>
        <w:t xml:space="preserve">the target </w:t>
      </w:r>
      <w:r w:rsidR="00BC15CB" w:rsidRPr="004A4D63">
        <w:rPr>
          <w:sz w:val="28"/>
          <w:szCs w:val="28"/>
        </w:rPr>
        <w:t xml:space="preserve">to </w:t>
      </w:r>
      <w:r w:rsidR="00C92857" w:rsidRPr="004A4D63">
        <w:rPr>
          <w:sz w:val="28"/>
          <w:szCs w:val="28"/>
        </w:rPr>
        <w:t>defend the case.</w:t>
      </w:r>
      <w:r w:rsidR="003121EB" w:rsidRPr="004A4D63">
        <w:rPr>
          <w:rStyle w:val="FootnoteReference"/>
          <w:sz w:val="28"/>
          <w:szCs w:val="28"/>
        </w:rPr>
        <w:footnoteReference w:id="16"/>
      </w:r>
      <w:r w:rsidR="00651537" w:rsidRPr="004A4D63">
        <w:rPr>
          <w:sz w:val="28"/>
          <w:szCs w:val="28"/>
        </w:rPr>
        <w:t xml:space="preserve"> Staff members vary in their willingness to disclose</w:t>
      </w:r>
      <w:r w:rsidR="00BB5D45" w:rsidRPr="004A4D63">
        <w:rPr>
          <w:sz w:val="28"/>
          <w:szCs w:val="28"/>
        </w:rPr>
        <w:t xml:space="preserve"> material in </w:t>
      </w:r>
      <w:r w:rsidR="00651537" w:rsidRPr="004A4D63">
        <w:rPr>
          <w:sz w:val="28"/>
          <w:szCs w:val="28"/>
        </w:rPr>
        <w:t xml:space="preserve"> investigative files.</w:t>
      </w:r>
      <w:r w:rsidR="00651537" w:rsidRPr="004A4D63">
        <w:rPr>
          <w:rStyle w:val="FootnoteReference"/>
          <w:sz w:val="28"/>
          <w:szCs w:val="28"/>
        </w:rPr>
        <w:footnoteReference w:id="17"/>
      </w:r>
    </w:p>
    <w:p w14:paraId="585DC749" w14:textId="6386A979" w:rsidR="00651537" w:rsidRPr="004A4D63" w:rsidRDefault="003121EB" w:rsidP="0065383A">
      <w:pPr>
        <w:spacing w:line="480" w:lineRule="auto"/>
        <w:rPr>
          <w:sz w:val="28"/>
          <w:szCs w:val="28"/>
        </w:rPr>
      </w:pPr>
      <w:r w:rsidRPr="004A4D63">
        <w:rPr>
          <w:sz w:val="28"/>
          <w:szCs w:val="28"/>
        </w:rPr>
        <w:tab/>
        <w:t>If the staff is not persuaded by the Wells submission or the white paper, it generates an “action memorandum” to the commissioners</w:t>
      </w:r>
      <w:r w:rsidR="006253C8" w:rsidRPr="004A4D63">
        <w:rPr>
          <w:sz w:val="28"/>
          <w:szCs w:val="28"/>
        </w:rPr>
        <w:t xml:space="preserve"> recommending that the Commission charge the target.  The action memorandum </w:t>
      </w:r>
      <w:r w:rsidR="00651537" w:rsidRPr="004A4D63">
        <w:rPr>
          <w:sz w:val="28"/>
          <w:szCs w:val="28"/>
        </w:rPr>
        <w:t xml:space="preserve">is circulated to all </w:t>
      </w:r>
      <w:r w:rsidR="00651537" w:rsidRPr="004A4D63">
        <w:rPr>
          <w:sz w:val="28"/>
          <w:szCs w:val="28"/>
        </w:rPr>
        <w:lastRenderedPageBreak/>
        <w:t xml:space="preserve">operating divisions of the Commission as well as </w:t>
      </w:r>
      <w:r w:rsidR="00566437" w:rsidRPr="004A4D63">
        <w:rPr>
          <w:sz w:val="28"/>
          <w:szCs w:val="28"/>
        </w:rPr>
        <w:t xml:space="preserve">to </w:t>
      </w:r>
      <w:r w:rsidR="00651537" w:rsidRPr="004A4D63">
        <w:rPr>
          <w:sz w:val="28"/>
          <w:szCs w:val="28"/>
        </w:rPr>
        <w:t xml:space="preserve">the General Counsel. </w:t>
      </w:r>
      <w:r w:rsidR="006253C8" w:rsidRPr="004A4D63">
        <w:rPr>
          <w:sz w:val="28"/>
          <w:szCs w:val="28"/>
        </w:rPr>
        <w:t xml:space="preserve">It </w:t>
      </w:r>
      <w:r w:rsidRPr="004A4D63">
        <w:rPr>
          <w:sz w:val="28"/>
          <w:szCs w:val="28"/>
        </w:rPr>
        <w:t xml:space="preserve">contains a comprehensive explanation of the factual and legal foundation of the recommendation and analyzes the strengths and weaknesses of the case.  </w:t>
      </w:r>
      <w:r w:rsidR="006253C8" w:rsidRPr="004A4D63">
        <w:rPr>
          <w:sz w:val="28"/>
          <w:szCs w:val="28"/>
        </w:rPr>
        <w:t xml:space="preserve">The memorandum </w:t>
      </w:r>
      <w:r w:rsidRPr="004A4D63">
        <w:rPr>
          <w:sz w:val="28"/>
          <w:szCs w:val="28"/>
        </w:rPr>
        <w:t>summarizes and responds to arguments submitted by respondents in the Wells submission or the white paper</w:t>
      </w:r>
      <w:r w:rsidR="001434C0" w:rsidRPr="004A4D63">
        <w:rPr>
          <w:sz w:val="28"/>
          <w:szCs w:val="28"/>
        </w:rPr>
        <w:t>.  It also responds</w:t>
      </w:r>
      <w:r w:rsidR="00651537" w:rsidRPr="004A4D63">
        <w:rPr>
          <w:sz w:val="28"/>
          <w:szCs w:val="28"/>
        </w:rPr>
        <w:t xml:space="preserve"> </w:t>
      </w:r>
      <w:r w:rsidR="001434C0" w:rsidRPr="004A4D63">
        <w:rPr>
          <w:sz w:val="28"/>
          <w:szCs w:val="28"/>
        </w:rPr>
        <w:t xml:space="preserve">to </w:t>
      </w:r>
      <w:r w:rsidR="00651537" w:rsidRPr="004A4D63">
        <w:rPr>
          <w:sz w:val="28"/>
          <w:szCs w:val="28"/>
        </w:rPr>
        <w:t>input received from other Commission offices or</w:t>
      </w:r>
      <w:r w:rsidR="00BB5D45" w:rsidRPr="004A4D63">
        <w:rPr>
          <w:sz w:val="28"/>
          <w:szCs w:val="28"/>
        </w:rPr>
        <w:t xml:space="preserve"> from </w:t>
      </w:r>
      <w:r w:rsidR="00651537" w:rsidRPr="004A4D63">
        <w:rPr>
          <w:sz w:val="28"/>
          <w:szCs w:val="28"/>
        </w:rPr>
        <w:t>the General Counsel</w:t>
      </w:r>
      <w:r w:rsidRPr="004A4D63">
        <w:rPr>
          <w:sz w:val="28"/>
          <w:szCs w:val="28"/>
        </w:rPr>
        <w:t xml:space="preserve">. </w:t>
      </w:r>
    </w:p>
    <w:p w14:paraId="7C850374" w14:textId="39DF9FE0" w:rsidR="003121EB" w:rsidRPr="004A4D63" w:rsidRDefault="00651537" w:rsidP="0065383A">
      <w:pPr>
        <w:spacing w:line="480" w:lineRule="auto"/>
        <w:rPr>
          <w:sz w:val="28"/>
          <w:szCs w:val="28"/>
        </w:rPr>
      </w:pPr>
      <w:r w:rsidRPr="004A4D63">
        <w:rPr>
          <w:sz w:val="28"/>
          <w:szCs w:val="28"/>
        </w:rPr>
        <w:tab/>
      </w:r>
      <w:r w:rsidR="003121EB" w:rsidRPr="004A4D63">
        <w:rPr>
          <w:sz w:val="28"/>
          <w:szCs w:val="28"/>
        </w:rPr>
        <w:t xml:space="preserve"> The action memorandum recommends either the issuance of a complaint for in-house administrative enforcement </w:t>
      </w:r>
      <w:r w:rsidR="00566437" w:rsidRPr="004A4D63">
        <w:rPr>
          <w:sz w:val="28"/>
          <w:szCs w:val="28"/>
        </w:rPr>
        <w:t xml:space="preserve">(“action instituting proceedings”) </w:t>
      </w:r>
      <w:r w:rsidR="003121EB" w:rsidRPr="004A4D63">
        <w:rPr>
          <w:sz w:val="28"/>
          <w:szCs w:val="28"/>
        </w:rPr>
        <w:t xml:space="preserve">or that the SEC </w:t>
      </w:r>
      <w:r w:rsidR="000437E7">
        <w:rPr>
          <w:sz w:val="28"/>
          <w:szCs w:val="28"/>
        </w:rPr>
        <w:t xml:space="preserve">should </w:t>
      </w:r>
      <w:r w:rsidR="003121EB" w:rsidRPr="004A4D63">
        <w:rPr>
          <w:sz w:val="28"/>
          <w:szCs w:val="28"/>
        </w:rPr>
        <w:t xml:space="preserve">seek enforcement action in federal court or make a criminal referral to the Department of Justice. If the target and the staff have agreed </w:t>
      </w:r>
      <w:r w:rsidR="006253C8" w:rsidRPr="004A4D63">
        <w:rPr>
          <w:sz w:val="28"/>
          <w:szCs w:val="28"/>
        </w:rPr>
        <w:t xml:space="preserve">to </w:t>
      </w:r>
      <w:r w:rsidR="003121EB" w:rsidRPr="004A4D63">
        <w:rPr>
          <w:sz w:val="28"/>
          <w:szCs w:val="28"/>
        </w:rPr>
        <w:t>a settlement</w:t>
      </w:r>
      <w:r w:rsidR="006253C8" w:rsidRPr="004A4D63">
        <w:rPr>
          <w:sz w:val="28"/>
          <w:szCs w:val="28"/>
        </w:rPr>
        <w:t xml:space="preserve">, </w:t>
      </w:r>
      <w:r w:rsidR="003121EB" w:rsidRPr="004A4D63">
        <w:rPr>
          <w:sz w:val="28"/>
          <w:szCs w:val="28"/>
        </w:rPr>
        <w:t xml:space="preserve">the action memo contains the proposed settlement. </w:t>
      </w:r>
      <w:r w:rsidR="00E6688F" w:rsidRPr="004A4D63">
        <w:rPr>
          <w:sz w:val="28"/>
          <w:szCs w:val="28"/>
        </w:rPr>
        <w:t xml:space="preserve">The </w:t>
      </w:r>
      <w:r w:rsidR="008A083E" w:rsidRPr="004A4D63">
        <w:rPr>
          <w:sz w:val="28"/>
          <w:szCs w:val="28"/>
        </w:rPr>
        <w:t xml:space="preserve">vast </w:t>
      </w:r>
      <w:r w:rsidR="00E6688F" w:rsidRPr="004A4D63">
        <w:rPr>
          <w:sz w:val="28"/>
          <w:szCs w:val="28"/>
        </w:rPr>
        <w:t>majority of cases settle at some point before hearing.</w:t>
      </w:r>
      <w:r w:rsidR="00E6688F" w:rsidRPr="004A4D63">
        <w:rPr>
          <w:rStyle w:val="FootnoteReference"/>
          <w:sz w:val="28"/>
          <w:szCs w:val="28"/>
        </w:rPr>
        <w:footnoteReference w:id="18"/>
      </w:r>
      <w:r w:rsidR="00E6688F" w:rsidRPr="004A4D63">
        <w:rPr>
          <w:sz w:val="28"/>
          <w:szCs w:val="28"/>
        </w:rPr>
        <w:t xml:space="preserve"> </w:t>
      </w:r>
      <w:r w:rsidR="003121EB" w:rsidRPr="004A4D63">
        <w:rPr>
          <w:sz w:val="28"/>
          <w:szCs w:val="28"/>
        </w:rPr>
        <w:t xml:space="preserve">Staff may </w:t>
      </w:r>
      <w:r w:rsidR="00FE784C" w:rsidRPr="004A4D63">
        <w:rPr>
          <w:sz w:val="28"/>
          <w:szCs w:val="28"/>
        </w:rPr>
        <w:t xml:space="preserve">conduct </w:t>
      </w:r>
      <w:r w:rsidR="003121EB" w:rsidRPr="004A4D63">
        <w:rPr>
          <w:sz w:val="28"/>
          <w:szCs w:val="28"/>
        </w:rPr>
        <w:t>meetings with commissioners to discuss particular charging recommendations.</w:t>
      </w:r>
      <w:r w:rsidR="003121EB" w:rsidRPr="004A4D63">
        <w:rPr>
          <w:rStyle w:val="FootnoteReference"/>
          <w:sz w:val="28"/>
          <w:szCs w:val="28"/>
        </w:rPr>
        <w:footnoteReference w:id="19"/>
      </w:r>
      <w:r w:rsidR="003121EB" w:rsidRPr="004A4D63">
        <w:rPr>
          <w:sz w:val="28"/>
          <w:szCs w:val="28"/>
        </w:rPr>
        <w:t xml:space="preserve"> </w:t>
      </w:r>
    </w:p>
    <w:p w14:paraId="4692F3DE" w14:textId="21EC7BD8" w:rsidR="00D24DA1" w:rsidRPr="004A4D63" w:rsidRDefault="003121EB" w:rsidP="0065383A">
      <w:pPr>
        <w:spacing w:line="480" w:lineRule="auto"/>
        <w:rPr>
          <w:sz w:val="28"/>
          <w:szCs w:val="28"/>
        </w:rPr>
      </w:pPr>
      <w:r w:rsidRPr="004A4D63">
        <w:rPr>
          <w:sz w:val="28"/>
          <w:szCs w:val="28"/>
        </w:rPr>
        <w:tab/>
        <w:t xml:space="preserve">When the chair determines that the </w:t>
      </w:r>
      <w:r w:rsidR="006253C8" w:rsidRPr="004A4D63">
        <w:rPr>
          <w:sz w:val="28"/>
          <w:szCs w:val="28"/>
        </w:rPr>
        <w:t xml:space="preserve">charging decision or settlement </w:t>
      </w:r>
      <w:r w:rsidRPr="004A4D63">
        <w:rPr>
          <w:sz w:val="28"/>
          <w:szCs w:val="28"/>
        </w:rPr>
        <w:t xml:space="preserve">is ready for full consideration, the five commissioners consider </w:t>
      </w:r>
      <w:r w:rsidR="00404683" w:rsidRPr="004A4D63">
        <w:rPr>
          <w:sz w:val="28"/>
          <w:szCs w:val="28"/>
        </w:rPr>
        <w:t xml:space="preserve">and vote on </w:t>
      </w:r>
      <w:r w:rsidRPr="004A4D63">
        <w:rPr>
          <w:sz w:val="28"/>
          <w:szCs w:val="28"/>
        </w:rPr>
        <w:t xml:space="preserve">the </w:t>
      </w:r>
      <w:r w:rsidR="006253C8" w:rsidRPr="004A4D63">
        <w:rPr>
          <w:sz w:val="28"/>
          <w:szCs w:val="28"/>
        </w:rPr>
        <w:t xml:space="preserve">matter </w:t>
      </w:r>
      <w:r w:rsidRPr="004A4D63">
        <w:rPr>
          <w:sz w:val="28"/>
          <w:szCs w:val="28"/>
        </w:rPr>
        <w:t xml:space="preserve">at a </w:t>
      </w:r>
      <w:r w:rsidR="00E6688F" w:rsidRPr="004A4D63">
        <w:rPr>
          <w:sz w:val="28"/>
          <w:szCs w:val="28"/>
        </w:rPr>
        <w:t xml:space="preserve">closed </w:t>
      </w:r>
      <w:r w:rsidRPr="004A4D63">
        <w:rPr>
          <w:sz w:val="28"/>
          <w:szCs w:val="28"/>
        </w:rPr>
        <w:t>meeting</w:t>
      </w:r>
      <w:r w:rsidR="00E6688F" w:rsidRPr="004A4D63">
        <w:rPr>
          <w:sz w:val="28"/>
          <w:szCs w:val="28"/>
        </w:rPr>
        <w:t>.</w:t>
      </w:r>
      <w:r w:rsidRPr="004A4D63">
        <w:rPr>
          <w:rStyle w:val="FootnoteReference"/>
          <w:sz w:val="28"/>
          <w:szCs w:val="28"/>
        </w:rPr>
        <w:footnoteReference w:id="20"/>
      </w:r>
      <w:r w:rsidR="00FE784C" w:rsidRPr="004A4D63">
        <w:rPr>
          <w:sz w:val="28"/>
          <w:szCs w:val="28"/>
        </w:rPr>
        <w:t xml:space="preserve"> </w:t>
      </w:r>
      <w:r w:rsidRPr="004A4D63">
        <w:rPr>
          <w:sz w:val="28"/>
          <w:szCs w:val="28"/>
        </w:rPr>
        <w:t xml:space="preserve">The </w:t>
      </w:r>
      <w:r w:rsidR="00404683" w:rsidRPr="004A4D63">
        <w:rPr>
          <w:sz w:val="28"/>
          <w:szCs w:val="28"/>
        </w:rPr>
        <w:t>G</w:t>
      </w:r>
      <w:r w:rsidRPr="004A4D63">
        <w:rPr>
          <w:sz w:val="28"/>
          <w:szCs w:val="28"/>
        </w:rPr>
        <w:t xml:space="preserve">eneral </w:t>
      </w:r>
      <w:r w:rsidR="00404683" w:rsidRPr="004A4D63">
        <w:rPr>
          <w:sz w:val="28"/>
          <w:szCs w:val="28"/>
        </w:rPr>
        <w:t>C</w:t>
      </w:r>
      <w:r w:rsidRPr="004A4D63">
        <w:rPr>
          <w:sz w:val="28"/>
          <w:szCs w:val="28"/>
        </w:rPr>
        <w:t xml:space="preserve">ounsel and heads of the relevant SEC divisions are present at this meeting. The commissioners have access to the Wells notice and the </w:t>
      </w:r>
      <w:r w:rsidRPr="004A4D63">
        <w:rPr>
          <w:sz w:val="28"/>
          <w:szCs w:val="28"/>
        </w:rPr>
        <w:lastRenderedPageBreak/>
        <w:t>Well</w:t>
      </w:r>
      <w:r w:rsidR="003F4283" w:rsidRPr="004A4D63">
        <w:rPr>
          <w:sz w:val="28"/>
          <w:szCs w:val="28"/>
        </w:rPr>
        <w:t>s</w:t>
      </w:r>
      <w:r w:rsidRPr="004A4D63">
        <w:rPr>
          <w:sz w:val="28"/>
          <w:szCs w:val="28"/>
        </w:rPr>
        <w:t xml:space="preserve"> submission (or the white paper).</w:t>
      </w:r>
      <w:r w:rsidR="00404683" w:rsidRPr="004A4D63">
        <w:rPr>
          <w:sz w:val="28"/>
          <w:szCs w:val="28"/>
        </w:rPr>
        <w:t xml:space="preserve"> </w:t>
      </w:r>
      <w:r w:rsidRPr="004A4D63">
        <w:rPr>
          <w:sz w:val="28"/>
          <w:szCs w:val="28"/>
        </w:rPr>
        <w:t xml:space="preserve"> Occasionally the matter will be put over until a later meeting or resolved by seriatim emails. In emergency situations, the “duty officer” (a single commissioner) has power to authorize enforcement action; the other commissions will ratify that action at a later time.</w:t>
      </w:r>
      <w:r w:rsidRPr="004A4D63">
        <w:rPr>
          <w:rStyle w:val="FootnoteReference"/>
          <w:sz w:val="28"/>
          <w:szCs w:val="28"/>
        </w:rPr>
        <w:footnoteReference w:id="21"/>
      </w:r>
      <w:r w:rsidRPr="004A4D63">
        <w:rPr>
          <w:sz w:val="28"/>
          <w:szCs w:val="28"/>
        </w:rPr>
        <w:t xml:space="preserve"> </w:t>
      </w:r>
      <w:r w:rsidR="00FE784C" w:rsidRPr="004A4D63">
        <w:rPr>
          <w:sz w:val="28"/>
          <w:szCs w:val="28"/>
        </w:rPr>
        <w:t>T</w:t>
      </w:r>
      <w:r w:rsidRPr="004A4D63">
        <w:rPr>
          <w:sz w:val="28"/>
          <w:szCs w:val="28"/>
        </w:rPr>
        <w:t>he Commission approve</w:t>
      </w:r>
      <w:r w:rsidR="0007268D" w:rsidRPr="004A4D63">
        <w:rPr>
          <w:sz w:val="28"/>
          <w:szCs w:val="28"/>
        </w:rPr>
        <w:t>s</w:t>
      </w:r>
      <w:r w:rsidRPr="004A4D63">
        <w:rPr>
          <w:sz w:val="28"/>
          <w:szCs w:val="28"/>
        </w:rPr>
        <w:t xml:space="preserve"> the vast majority of the </w:t>
      </w:r>
      <w:r w:rsidR="008A083E" w:rsidRPr="004A4D63">
        <w:rPr>
          <w:sz w:val="28"/>
          <w:szCs w:val="28"/>
        </w:rPr>
        <w:t xml:space="preserve">charging </w:t>
      </w:r>
      <w:r w:rsidR="000E6C04" w:rsidRPr="004A4D63">
        <w:rPr>
          <w:sz w:val="28"/>
          <w:szCs w:val="28"/>
        </w:rPr>
        <w:t>r</w:t>
      </w:r>
      <w:r w:rsidRPr="004A4D63">
        <w:rPr>
          <w:sz w:val="28"/>
          <w:szCs w:val="28"/>
        </w:rPr>
        <w:t>ecommendations in action memo</w:t>
      </w:r>
      <w:r w:rsidR="00A65DB6" w:rsidRPr="004A4D63">
        <w:rPr>
          <w:sz w:val="28"/>
          <w:szCs w:val="28"/>
        </w:rPr>
        <w:t>randa</w:t>
      </w:r>
      <w:r w:rsidR="00404683" w:rsidRPr="004A4D63">
        <w:rPr>
          <w:sz w:val="28"/>
          <w:szCs w:val="28"/>
        </w:rPr>
        <w:t>,</w:t>
      </w:r>
      <w:r w:rsidRPr="004A4D63">
        <w:rPr>
          <w:sz w:val="28"/>
          <w:szCs w:val="28"/>
        </w:rPr>
        <w:t xml:space="preserve"> although  there is occasionally vigorous discussion of the charging decision</w:t>
      </w:r>
      <w:r w:rsidR="0007268D" w:rsidRPr="004A4D63">
        <w:rPr>
          <w:sz w:val="28"/>
          <w:szCs w:val="28"/>
        </w:rPr>
        <w:t xml:space="preserve"> and split decisions</w:t>
      </w:r>
      <w:r w:rsidRPr="004A4D63">
        <w:rPr>
          <w:sz w:val="28"/>
          <w:szCs w:val="28"/>
        </w:rPr>
        <w:t>.</w:t>
      </w:r>
      <w:r w:rsidR="00A65DB6" w:rsidRPr="004A4D63">
        <w:rPr>
          <w:rStyle w:val="FootnoteReference"/>
          <w:sz w:val="28"/>
          <w:szCs w:val="28"/>
        </w:rPr>
        <w:footnoteReference w:id="22"/>
      </w:r>
      <w:r w:rsidRPr="004A4D63">
        <w:rPr>
          <w:sz w:val="28"/>
          <w:szCs w:val="28"/>
        </w:rPr>
        <w:tab/>
      </w:r>
    </w:p>
    <w:p w14:paraId="660BA83C" w14:textId="6C5BE1F3" w:rsidR="0065383A" w:rsidRPr="004A4D63" w:rsidRDefault="00D24DA1" w:rsidP="0065383A">
      <w:pPr>
        <w:spacing w:line="480" w:lineRule="auto"/>
        <w:ind w:firstLine="720"/>
        <w:rPr>
          <w:sz w:val="28"/>
          <w:szCs w:val="28"/>
        </w:rPr>
      </w:pPr>
      <w:r w:rsidRPr="004A4D63">
        <w:rPr>
          <w:sz w:val="28"/>
          <w:szCs w:val="28"/>
        </w:rPr>
        <w:t xml:space="preserve">The SEC has a moderate adjudicatory caseload. In the six-month period ending </w:t>
      </w:r>
      <w:r w:rsidR="00566E4D" w:rsidRPr="004A4D63">
        <w:rPr>
          <w:sz w:val="28"/>
          <w:szCs w:val="28"/>
        </w:rPr>
        <w:t>March</w:t>
      </w:r>
      <w:r w:rsidRPr="004A4D63">
        <w:rPr>
          <w:sz w:val="28"/>
          <w:szCs w:val="28"/>
        </w:rPr>
        <w:t xml:space="preserve"> 2022, there were 210 adjudicatory matters (including Actions Instituting Proceedings) before the SEC, 9 cases pending before ALJs (</w:t>
      </w:r>
      <w:r w:rsidR="00B27FA0" w:rsidRPr="004A4D63">
        <w:rPr>
          <w:sz w:val="28"/>
          <w:szCs w:val="28"/>
        </w:rPr>
        <w:t xml:space="preserve">during this period, ALJs rendered </w:t>
      </w:r>
      <w:r w:rsidRPr="004A4D63">
        <w:rPr>
          <w:sz w:val="28"/>
          <w:szCs w:val="28"/>
        </w:rPr>
        <w:t xml:space="preserve">6 initial decisions and </w:t>
      </w:r>
      <w:r w:rsidR="00B27FA0" w:rsidRPr="004A4D63">
        <w:rPr>
          <w:sz w:val="28"/>
          <w:szCs w:val="28"/>
        </w:rPr>
        <w:t>disposed of 4 cases through settlement or dismissal)</w:t>
      </w:r>
      <w:r w:rsidRPr="004A4D63">
        <w:rPr>
          <w:sz w:val="28"/>
          <w:szCs w:val="28"/>
        </w:rPr>
        <w:t>, and 12 ALJ cases pending at the Commission level.</w:t>
      </w:r>
      <w:r w:rsidRPr="004A4D63">
        <w:rPr>
          <w:rStyle w:val="FootnoteReference"/>
          <w:sz w:val="28"/>
          <w:szCs w:val="28"/>
        </w:rPr>
        <w:footnoteReference w:id="23"/>
      </w:r>
      <w:r w:rsidRPr="004A4D63">
        <w:rPr>
          <w:sz w:val="28"/>
          <w:szCs w:val="28"/>
        </w:rPr>
        <w:t xml:space="preserve"> </w:t>
      </w:r>
    </w:p>
    <w:p w14:paraId="2B1DC559" w14:textId="3BB3446F" w:rsidR="008C6B2F" w:rsidRPr="004A4D63" w:rsidRDefault="008C6B2F" w:rsidP="0065383A">
      <w:pPr>
        <w:spacing w:line="480" w:lineRule="auto"/>
        <w:ind w:firstLine="720"/>
        <w:rPr>
          <w:b/>
          <w:bCs/>
          <w:sz w:val="28"/>
          <w:szCs w:val="28"/>
        </w:rPr>
      </w:pPr>
      <w:r w:rsidRPr="004A4D63">
        <w:rPr>
          <w:b/>
          <w:bCs/>
          <w:sz w:val="28"/>
          <w:szCs w:val="28"/>
        </w:rPr>
        <w:t xml:space="preserve">B. FEDERAL TRADE COMMISSION (FTC)   </w:t>
      </w:r>
      <w:r w:rsidR="003121EB" w:rsidRPr="004A4D63">
        <w:rPr>
          <w:b/>
          <w:bCs/>
          <w:sz w:val="28"/>
          <w:szCs w:val="28"/>
        </w:rPr>
        <w:tab/>
      </w:r>
    </w:p>
    <w:p w14:paraId="3ECA5C45" w14:textId="1C9E695E" w:rsidR="003E1AE6" w:rsidRPr="004A4D63" w:rsidRDefault="008C514D" w:rsidP="0065383A">
      <w:pPr>
        <w:spacing w:line="480" w:lineRule="auto"/>
        <w:ind w:firstLine="720"/>
        <w:rPr>
          <w:sz w:val="28"/>
          <w:szCs w:val="28"/>
        </w:rPr>
      </w:pPr>
      <w:r w:rsidRPr="004A4D63">
        <w:rPr>
          <w:sz w:val="28"/>
          <w:szCs w:val="28"/>
        </w:rPr>
        <w:t xml:space="preserve">The </w:t>
      </w:r>
      <w:r w:rsidR="003121EB" w:rsidRPr="004A4D63">
        <w:rPr>
          <w:sz w:val="28"/>
          <w:szCs w:val="28"/>
        </w:rPr>
        <w:t>FTC</w:t>
      </w:r>
      <w:r w:rsidRPr="004A4D63">
        <w:rPr>
          <w:sz w:val="28"/>
          <w:szCs w:val="28"/>
        </w:rPr>
        <w:t>’s</w:t>
      </w:r>
      <w:r w:rsidR="003121EB" w:rsidRPr="004A4D63">
        <w:rPr>
          <w:sz w:val="28"/>
          <w:szCs w:val="28"/>
        </w:rPr>
        <w:t xml:space="preserve"> Competition </w:t>
      </w:r>
      <w:r w:rsidRPr="004A4D63">
        <w:rPr>
          <w:sz w:val="28"/>
          <w:szCs w:val="28"/>
        </w:rPr>
        <w:t xml:space="preserve">and </w:t>
      </w:r>
      <w:r w:rsidR="003121EB" w:rsidRPr="004A4D63">
        <w:rPr>
          <w:sz w:val="28"/>
          <w:szCs w:val="28"/>
        </w:rPr>
        <w:t>Consumer Protection</w:t>
      </w:r>
      <w:r w:rsidRPr="004A4D63">
        <w:rPr>
          <w:sz w:val="28"/>
          <w:szCs w:val="28"/>
        </w:rPr>
        <w:t xml:space="preserve"> bureaus</w:t>
      </w:r>
      <w:r w:rsidR="003121EB" w:rsidRPr="004A4D63">
        <w:rPr>
          <w:sz w:val="28"/>
          <w:szCs w:val="28"/>
        </w:rPr>
        <w:t xml:space="preserve"> investigate </w:t>
      </w:r>
      <w:r w:rsidR="00D6152A" w:rsidRPr="004A4D63">
        <w:rPr>
          <w:sz w:val="28"/>
          <w:szCs w:val="28"/>
        </w:rPr>
        <w:t xml:space="preserve">potential enforcement </w:t>
      </w:r>
      <w:r w:rsidR="003121EB" w:rsidRPr="004A4D63">
        <w:rPr>
          <w:sz w:val="28"/>
          <w:szCs w:val="28"/>
        </w:rPr>
        <w:t>case</w:t>
      </w:r>
      <w:r w:rsidR="00D6152A" w:rsidRPr="004A4D63">
        <w:rPr>
          <w:sz w:val="28"/>
          <w:szCs w:val="28"/>
        </w:rPr>
        <w:t>s</w:t>
      </w:r>
      <w:r w:rsidR="003121EB" w:rsidRPr="004A4D63">
        <w:rPr>
          <w:sz w:val="28"/>
          <w:szCs w:val="28"/>
        </w:rPr>
        <w:t xml:space="preserve"> without seeking authorization from the full Commission.</w:t>
      </w:r>
      <w:r w:rsidR="003121EB" w:rsidRPr="004A4D63">
        <w:rPr>
          <w:rStyle w:val="FootnoteReference"/>
          <w:sz w:val="28"/>
          <w:szCs w:val="28"/>
        </w:rPr>
        <w:footnoteReference w:id="24"/>
      </w:r>
      <w:r w:rsidR="003121EB" w:rsidRPr="004A4D63">
        <w:rPr>
          <w:sz w:val="28"/>
          <w:szCs w:val="28"/>
        </w:rPr>
        <w:t xml:space="preserve"> The staff ordinarily contacts proposed </w:t>
      </w:r>
      <w:r w:rsidR="00D64CDC" w:rsidRPr="004A4D63">
        <w:rPr>
          <w:sz w:val="28"/>
          <w:szCs w:val="28"/>
        </w:rPr>
        <w:t xml:space="preserve">targets </w:t>
      </w:r>
      <w:r w:rsidR="003121EB" w:rsidRPr="004A4D63">
        <w:rPr>
          <w:sz w:val="28"/>
          <w:szCs w:val="28"/>
        </w:rPr>
        <w:t xml:space="preserve">to advise them of the </w:t>
      </w:r>
      <w:r w:rsidR="003121EB" w:rsidRPr="004A4D63">
        <w:rPr>
          <w:sz w:val="28"/>
          <w:szCs w:val="28"/>
        </w:rPr>
        <w:lastRenderedPageBreak/>
        <w:t xml:space="preserve">general nature of the inquiry. </w:t>
      </w:r>
      <w:r w:rsidR="00D64CDC" w:rsidRPr="004A4D63">
        <w:rPr>
          <w:sz w:val="28"/>
          <w:szCs w:val="28"/>
        </w:rPr>
        <w:t>T</w:t>
      </w:r>
      <w:r w:rsidR="003121EB" w:rsidRPr="004A4D63">
        <w:rPr>
          <w:sz w:val="28"/>
          <w:szCs w:val="28"/>
        </w:rPr>
        <w:t>argets typically meet informally with the staff and the head of the relevant bureau during the investigation and are entitled to submit memoranda (called “white papers”) on key issues.</w:t>
      </w:r>
      <w:r w:rsidR="00423E48" w:rsidRPr="004A4D63">
        <w:rPr>
          <w:rStyle w:val="FootnoteReference"/>
          <w:sz w:val="28"/>
          <w:szCs w:val="28"/>
        </w:rPr>
        <w:footnoteReference w:id="25"/>
      </w:r>
      <w:r w:rsidR="003121EB" w:rsidRPr="004A4D63">
        <w:rPr>
          <w:sz w:val="28"/>
          <w:szCs w:val="28"/>
        </w:rPr>
        <w:t xml:space="preserve">  </w:t>
      </w:r>
    </w:p>
    <w:p w14:paraId="7AA90D16" w14:textId="5DBB919D" w:rsidR="00A111F6" w:rsidRDefault="003121EB" w:rsidP="00A111F6">
      <w:pPr>
        <w:shd w:val="clear" w:color="auto" w:fill="FFFFFF"/>
        <w:textAlignment w:val="baseline"/>
        <w:rPr>
          <w:rFonts w:ascii="Lato" w:hAnsi="Lato"/>
          <w:color w:val="666666"/>
          <w:sz w:val="21"/>
          <w:szCs w:val="21"/>
        </w:rPr>
      </w:pPr>
      <w:r w:rsidRPr="004A4D63">
        <w:rPr>
          <w:sz w:val="28"/>
          <w:szCs w:val="28"/>
        </w:rPr>
        <w:tab/>
        <w:t xml:space="preserve">The </w:t>
      </w:r>
      <w:r w:rsidR="00C60FFF" w:rsidRPr="004A4D63">
        <w:rPr>
          <w:sz w:val="28"/>
          <w:szCs w:val="28"/>
        </w:rPr>
        <w:t xml:space="preserve">staff of the relevant </w:t>
      </w:r>
      <w:r w:rsidRPr="004A4D63">
        <w:rPr>
          <w:sz w:val="28"/>
          <w:szCs w:val="28"/>
        </w:rPr>
        <w:t>Bureau</w:t>
      </w:r>
      <w:r w:rsidR="0005235B" w:rsidRPr="004A4D63">
        <w:rPr>
          <w:sz w:val="28"/>
          <w:szCs w:val="28"/>
        </w:rPr>
        <w:t xml:space="preserve"> </w:t>
      </w:r>
      <w:r w:rsidRPr="004A4D63">
        <w:rPr>
          <w:sz w:val="28"/>
          <w:szCs w:val="28"/>
        </w:rPr>
        <w:t>then prepares a “memorandum recommending complaint” which analyzes the factual basis for the recommendation and explains why issuance of a complaint would be in the  public interest.</w:t>
      </w:r>
      <w:r w:rsidR="00404683" w:rsidRPr="004A4D63">
        <w:rPr>
          <w:rStyle w:val="FootnoteReference"/>
          <w:sz w:val="28"/>
          <w:szCs w:val="28"/>
        </w:rPr>
        <w:footnoteReference w:id="26"/>
      </w:r>
      <w:r w:rsidRPr="004A4D63">
        <w:rPr>
          <w:sz w:val="28"/>
          <w:szCs w:val="28"/>
        </w:rPr>
        <w:t xml:space="preserve"> If there is a settlement</w:t>
      </w:r>
      <w:r w:rsidR="00697E73" w:rsidRPr="004A4D63">
        <w:rPr>
          <w:sz w:val="28"/>
          <w:szCs w:val="28"/>
        </w:rPr>
        <w:t xml:space="preserve"> (and the vast majority of cases settle</w:t>
      </w:r>
      <w:r w:rsidR="00A111F6" w:rsidRPr="00A111F6">
        <w:rPr>
          <w:rFonts w:ascii="inherit" w:hAnsi="inherit"/>
          <w:color w:val="222222"/>
          <w:sz w:val="21"/>
          <w:szCs w:val="21"/>
          <w:bdr w:val="none" w:sz="0" w:space="0" w:color="auto" w:frame="1"/>
        </w:rPr>
        <w:t xml:space="preserve"> </w:t>
      </w:r>
      <w:r w:rsidR="00A111F6">
        <w:rPr>
          <w:rStyle w:val="active-reporter"/>
          <w:rFonts w:ascii="inherit" w:hAnsi="inherit"/>
          <w:color w:val="222222"/>
          <w:sz w:val="21"/>
          <w:szCs w:val="21"/>
          <w:bdr w:val="none" w:sz="0" w:space="0" w:color="auto" w:frame="1"/>
        </w:rPr>
        <w:t>51 F.4th 644</w:t>
      </w:r>
    </w:p>
    <w:p w14:paraId="4267F7EF" w14:textId="77777777" w:rsidR="00A111F6" w:rsidRDefault="00A111F6" w:rsidP="00A111F6"/>
    <w:p w14:paraId="06E3C778" w14:textId="299F57E1" w:rsidR="001F0564" w:rsidRPr="004A4D63" w:rsidRDefault="00994784" w:rsidP="0065383A">
      <w:pPr>
        <w:spacing w:line="480" w:lineRule="auto"/>
        <w:rPr>
          <w:sz w:val="28"/>
          <w:szCs w:val="28"/>
        </w:rPr>
      </w:pPr>
      <w:r w:rsidRPr="004A4D63">
        <w:rPr>
          <w:rStyle w:val="FootnoteReference"/>
          <w:sz w:val="28"/>
          <w:szCs w:val="28"/>
        </w:rPr>
        <w:footnoteReference w:id="27"/>
      </w:r>
      <w:r w:rsidR="00697E73" w:rsidRPr="004A4D63">
        <w:rPr>
          <w:sz w:val="28"/>
          <w:szCs w:val="28"/>
        </w:rPr>
        <w:t>)</w:t>
      </w:r>
      <w:r w:rsidR="003121EB" w:rsidRPr="004A4D63">
        <w:rPr>
          <w:sz w:val="28"/>
          <w:szCs w:val="28"/>
        </w:rPr>
        <w:t xml:space="preserve">, the memorandum includes the proposed consent decree. In unsettled cases, </w:t>
      </w:r>
      <w:r w:rsidR="00A91007" w:rsidRPr="004A4D63">
        <w:rPr>
          <w:sz w:val="28"/>
          <w:szCs w:val="28"/>
        </w:rPr>
        <w:t xml:space="preserve">the commissioners receive the white paper </w:t>
      </w:r>
      <w:r w:rsidR="003E1AE6" w:rsidRPr="004A4D63">
        <w:rPr>
          <w:sz w:val="28"/>
          <w:szCs w:val="28"/>
        </w:rPr>
        <w:t xml:space="preserve">together with </w:t>
      </w:r>
      <w:r w:rsidR="00A91007" w:rsidRPr="004A4D63">
        <w:rPr>
          <w:sz w:val="28"/>
          <w:szCs w:val="28"/>
        </w:rPr>
        <w:t xml:space="preserve">additional memoranda from the general counsel and from staff and chiefs of </w:t>
      </w:r>
      <w:r w:rsidR="003121EB" w:rsidRPr="004A4D63">
        <w:rPr>
          <w:sz w:val="28"/>
          <w:szCs w:val="28"/>
        </w:rPr>
        <w:t>the Bureau of Competition and the Bureau of Economics.</w:t>
      </w:r>
      <w:r w:rsidR="003121EB" w:rsidRPr="004A4D63">
        <w:rPr>
          <w:rStyle w:val="FootnoteReference"/>
          <w:sz w:val="28"/>
          <w:szCs w:val="28"/>
        </w:rPr>
        <w:footnoteReference w:id="28"/>
      </w:r>
      <w:r w:rsidR="003121EB" w:rsidRPr="004A4D63">
        <w:rPr>
          <w:sz w:val="28"/>
          <w:szCs w:val="28"/>
        </w:rPr>
        <w:t xml:space="preserve"> The memorandum recommending complaint indicates whether the FTC should seek </w:t>
      </w:r>
      <w:r w:rsidR="00835858" w:rsidRPr="004A4D63">
        <w:rPr>
          <w:sz w:val="28"/>
          <w:szCs w:val="28"/>
        </w:rPr>
        <w:t xml:space="preserve">relief in federal court. </w:t>
      </w:r>
      <w:r w:rsidR="00471B93" w:rsidRPr="004A4D63">
        <w:rPr>
          <w:sz w:val="28"/>
          <w:szCs w:val="28"/>
        </w:rPr>
        <w:t xml:space="preserve"> For example, </w:t>
      </w:r>
      <w:r w:rsidR="00614C2E" w:rsidRPr="004A4D63">
        <w:rPr>
          <w:sz w:val="28"/>
          <w:szCs w:val="28"/>
        </w:rPr>
        <w:t xml:space="preserve">in merger cases </w:t>
      </w:r>
      <w:r w:rsidR="00636F89" w:rsidRPr="004A4D63">
        <w:rPr>
          <w:sz w:val="28"/>
          <w:szCs w:val="28"/>
        </w:rPr>
        <w:t xml:space="preserve">the FTC </w:t>
      </w:r>
      <w:r w:rsidR="00835858" w:rsidRPr="004A4D63">
        <w:rPr>
          <w:sz w:val="28"/>
          <w:szCs w:val="28"/>
        </w:rPr>
        <w:t xml:space="preserve">often seeks </w:t>
      </w:r>
      <w:r w:rsidR="003121EB" w:rsidRPr="004A4D63">
        <w:rPr>
          <w:sz w:val="28"/>
          <w:szCs w:val="28"/>
        </w:rPr>
        <w:t>an injunction pending the administrative process</w:t>
      </w:r>
      <w:r w:rsidR="00614C2E" w:rsidRPr="004A4D63">
        <w:rPr>
          <w:sz w:val="28"/>
          <w:szCs w:val="28"/>
        </w:rPr>
        <w:t>.</w:t>
      </w:r>
      <w:r w:rsidR="00835858" w:rsidRPr="004A4D63">
        <w:rPr>
          <w:sz w:val="28"/>
          <w:szCs w:val="28"/>
        </w:rPr>
        <w:t xml:space="preserve"> </w:t>
      </w:r>
    </w:p>
    <w:p w14:paraId="12C6D62C" w14:textId="7BAC7585" w:rsidR="003121EB" w:rsidRPr="004A4D63" w:rsidRDefault="001F0564" w:rsidP="0065383A">
      <w:pPr>
        <w:spacing w:line="480" w:lineRule="auto"/>
        <w:rPr>
          <w:sz w:val="28"/>
          <w:szCs w:val="28"/>
        </w:rPr>
      </w:pPr>
      <w:r w:rsidRPr="004A4D63">
        <w:rPr>
          <w:sz w:val="28"/>
          <w:szCs w:val="28"/>
        </w:rPr>
        <w:tab/>
      </w:r>
      <w:r w:rsidR="003121EB" w:rsidRPr="004A4D63">
        <w:rPr>
          <w:sz w:val="28"/>
          <w:szCs w:val="28"/>
        </w:rPr>
        <w:t xml:space="preserve">After </w:t>
      </w:r>
      <w:r w:rsidR="00614C2E" w:rsidRPr="004A4D63">
        <w:rPr>
          <w:sz w:val="28"/>
          <w:szCs w:val="28"/>
        </w:rPr>
        <w:t xml:space="preserve">staff submits </w:t>
      </w:r>
      <w:r w:rsidR="003121EB" w:rsidRPr="004A4D63">
        <w:rPr>
          <w:sz w:val="28"/>
          <w:szCs w:val="28"/>
        </w:rPr>
        <w:t>the memorandum</w:t>
      </w:r>
      <w:r w:rsidR="00614C2E" w:rsidRPr="004A4D63">
        <w:rPr>
          <w:sz w:val="28"/>
          <w:szCs w:val="28"/>
        </w:rPr>
        <w:t>,</w:t>
      </w:r>
      <w:r w:rsidR="003121EB" w:rsidRPr="004A4D63">
        <w:rPr>
          <w:sz w:val="28"/>
          <w:szCs w:val="28"/>
        </w:rPr>
        <w:t xml:space="preserve"> respondents have an opportunity to meet individually with the commissioners to persuade them that no complaint </w:t>
      </w:r>
      <w:r w:rsidR="003121EB" w:rsidRPr="004A4D63">
        <w:rPr>
          <w:sz w:val="28"/>
          <w:szCs w:val="28"/>
        </w:rPr>
        <w:lastRenderedPageBreak/>
        <w:t>should be issued or that the case should be settled</w:t>
      </w:r>
      <w:r w:rsidR="00614C2E" w:rsidRPr="004A4D63">
        <w:rPr>
          <w:sz w:val="28"/>
          <w:szCs w:val="28"/>
        </w:rPr>
        <w:t>.</w:t>
      </w:r>
      <w:r w:rsidR="003121EB" w:rsidRPr="004A4D63">
        <w:rPr>
          <w:sz w:val="28"/>
          <w:szCs w:val="28"/>
        </w:rPr>
        <w:t xml:space="preserve"> Staff members are usually present at these meetings.</w:t>
      </w:r>
      <w:r w:rsidR="00D64CDC" w:rsidRPr="004A4D63">
        <w:rPr>
          <w:rStyle w:val="FootnoteReference"/>
          <w:sz w:val="28"/>
          <w:szCs w:val="28"/>
        </w:rPr>
        <w:footnoteReference w:id="29"/>
      </w:r>
    </w:p>
    <w:p w14:paraId="446F90F7" w14:textId="21B035EA" w:rsidR="003E1AE6" w:rsidRPr="004A4D63" w:rsidRDefault="003121EB" w:rsidP="0065383A">
      <w:pPr>
        <w:spacing w:line="480" w:lineRule="auto"/>
        <w:rPr>
          <w:sz w:val="28"/>
          <w:szCs w:val="28"/>
        </w:rPr>
      </w:pPr>
      <w:r w:rsidRPr="004A4D63">
        <w:rPr>
          <w:sz w:val="28"/>
          <w:szCs w:val="28"/>
        </w:rPr>
        <w:tab/>
      </w:r>
      <w:r w:rsidR="006E7818" w:rsidRPr="004A4D63">
        <w:rPr>
          <w:sz w:val="28"/>
          <w:szCs w:val="28"/>
        </w:rPr>
        <w:t>I</w:t>
      </w:r>
      <w:r w:rsidRPr="004A4D63">
        <w:rPr>
          <w:sz w:val="28"/>
          <w:szCs w:val="28"/>
        </w:rPr>
        <w:t xml:space="preserve">n order to </w:t>
      </w:r>
      <w:r w:rsidR="00A91007" w:rsidRPr="004A4D63">
        <w:rPr>
          <w:sz w:val="28"/>
          <w:szCs w:val="28"/>
        </w:rPr>
        <w:t xml:space="preserve">greenlight </w:t>
      </w:r>
      <w:r w:rsidRPr="004A4D63">
        <w:rPr>
          <w:sz w:val="28"/>
          <w:szCs w:val="28"/>
        </w:rPr>
        <w:t>a complaint, the FTC must determine that there is “reason to believe” that a violation has occurred and that a proceeding would be in the “public interest.”</w:t>
      </w:r>
      <w:r w:rsidRPr="004A4D63">
        <w:rPr>
          <w:rStyle w:val="FootnoteReference"/>
          <w:sz w:val="28"/>
          <w:szCs w:val="28"/>
        </w:rPr>
        <w:footnoteReference w:id="30"/>
      </w:r>
      <w:r w:rsidRPr="004A4D63">
        <w:rPr>
          <w:sz w:val="28"/>
          <w:szCs w:val="28"/>
        </w:rPr>
        <w:t xml:space="preserve"> A “moving commissioner” is assigned randomly to each case and the moving commissioner decides when the </w:t>
      </w:r>
      <w:r w:rsidR="00D64CDC" w:rsidRPr="004A4D63">
        <w:rPr>
          <w:sz w:val="28"/>
          <w:szCs w:val="28"/>
        </w:rPr>
        <w:t xml:space="preserve">charging decision </w:t>
      </w:r>
      <w:r w:rsidRPr="004A4D63">
        <w:rPr>
          <w:sz w:val="28"/>
          <w:szCs w:val="28"/>
        </w:rPr>
        <w:t>is ready for full Commission consideration</w:t>
      </w:r>
      <w:r w:rsidR="006E7818" w:rsidRPr="004A4D63">
        <w:rPr>
          <w:sz w:val="28"/>
          <w:szCs w:val="28"/>
        </w:rPr>
        <w:t xml:space="preserve">. However, </w:t>
      </w:r>
      <w:r w:rsidRPr="004A4D63">
        <w:rPr>
          <w:sz w:val="28"/>
          <w:szCs w:val="28"/>
        </w:rPr>
        <w:t>a majority of the Commission can bring a matter up for decision despite opposition of the moving commissioner.</w:t>
      </w:r>
      <w:r w:rsidR="000E6C04" w:rsidRPr="004A4D63">
        <w:rPr>
          <w:rStyle w:val="FootnoteReference"/>
          <w:sz w:val="28"/>
          <w:szCs w:val="28"/>
        </w:rPr>
        <w:footnoteReference w:id="31"/>
      </w:r>
      <w:r w:rsidRPr="004A4D63">
        <w:rPr>
          <w:sz w:val="28"/>
          <w:szCs w:val="28"/>
        </w:rPr>
        <w:t xml:space="preserve">  </w:t>
      </w:r>
    </w:p>
    <w:p w14:paraId="09CB1B5E" w14:textId="474148E9" w:rsidR="00404683" w:rsidRPr="004A4D63" w:rsidRDefault="003121EB" w:rsidP="00404683">
      <w:pPr>
        <w:spacing w:line="480" w:lineRule="auto"/>
        <w:ind w:firstLine="720"/>
        <w:rPr>
          <w:sz w:val="28"/>
          <w:szCs w:val="28"/>
        </w:rPr>
      </w:pPr>
      <w:r w:rsidRPr="004A4D63">
        <w:rPr>
          <w:sz w:val="28"/>
          <w:szCs w:val="28"/>
        </w:rPr>
        <w:t xml:space="preserve">The Commission discusses the charging decision in a closed meeting or makes the decision through seriatim communications. The commissioners generally respect and follow the views of the chair about enforcement priorities, particularly since the chair </w:t>
      </w:r>
      <w:r w:rsidR="00A111F6">
        <w:rPr>
          <w:sz w:val="28"/>
          <w:szCs w:val="28"/>
        </w:rPr>
        <w:t xml:space="preserve">is </w:t>
      </w:r>
      <w:r w:rsidRPr="004A4D63">
        <w:rPr>
          <w:sz w:val="28"/>
          <w:szCs w:val="28"/>
        </w:rPr>
        <w:t>in contact wit</w:t>
      </w:r>
      <w:r w:rsidR="00A111F6">
        <w:rPr>
          <w:sz w:val="28"/>
          <w:szCs w:val="28"/>
        </w:rPr>
        <w:t xml:space="preserve">h </w:t>
      </w:r>
      <w:r w:rsidRPr="004A4D63">
        <w:rPr>
          <w:sz w:val="28"/>
          <w:szCs w:val="28"/>
        </w:rPr>
        <w:t>staff during the investigatory process and usually concurs in the staff memoranda.</w:t>
      </w:r>
      <w:r w:rsidRPr="004A4D63">
        <w:rPr>
          <w:rStyle w:val="FootnoteReference"/>
          <w:sz w:val="28"/>
          <w:szCs w:val="28"/>
        </w:rPr>
        <w:footnoteReference w:id="32"/>
      </w:r>
      <w:r w:rsidR="00715F92" w:rsidRPr="004A4D63">
        <w:rPr>
          <w:sz w:val="28"/>
          <w:szCs w:val="28"/>
        </w:rPr>
        <w:t xml:space="preserve"> The same process is used for the </w:t>
      </w:r>
      <w:r w:rsidR="00715F92" w:rsidRPr="004A4D63">
        <w:rPr>
          <w:sz w:val="28"/>
          <w:szCs w:val="28"/>
        </w:rPr>
        <w:lastRenderedPageBreak/>
        <w:t xml:space="preserve">approval of settlements negotiated by staff. </w:t>
      </w:r>
      <w:r w:rsidRPr="004A4D63">
        <w:rPr>
          <w:sz w:val="28"/>
          <w:szCs w:val="28"/>
        </w:rPr>
        <w:t xml:space="preserve">There is an elaborate procedure for public comment on proposed settlements in </w:t>
      </w:r>
      <w:r w:rsidR="00A61DDC" w:rsidRPr="004A4D63">
        <w:rPr>
          <w:sz w:val="28"/>
          <w:szCs w:val="28"/>
        </w:rPr>
        <w:t xml:space="preserve">competition </w:t>
      </w:r>
      <w:r w:rsidRPr="004A4D63">
        <w:rPr>
          <w:sz w:val="28"/>
          <w:szCs w:val="28"/>
        </w:rPr>
        <w:t>cases.</w:t>
      </w:r>
      <w:r w:rsidRPr="004A4D63">
        <w:rPr>
          <w:rStyle w:val="FootnoteReference"/>
          <w:sz w:val="28"/>
          <w:szCs w:val="28"/>
        </w:rPr>
        <w:footnoteReference w:id="33"/>
      </w:r>
      <w:r w:rsidRPr="004A4D63">
        <w:rPr>
          <w:sz w:val="28"/>
          <w:szCs w:val="28"/>
        </w:rPr>
        <w:t xml:space="preserve"> </w:t>
      </w:r>
    </w:p>
    <w:p w14:paraId="3AD9B389" w14:textId="18CE6976" w:rsidR="00396286" w:rsidRPr="004A4D63" w:rsidRDefault="00396286" w:rsidP="00404683">
      <w:pPr>
        <w:spacing w:line="480" w:lineRule="auto"/>
        <w:ind w:firstLine="720"/>
        <w:rPr>
          <w:sz w:val="28"/>
          <w:szCs w:val="28"/>
        </w:rPr>
      </w:pPr>
      <w:r w:rsidRPr="004A4D63">
        <w:rPr>
          <w:sz w:val="28"/>
          <w:szCs w:val="28"/>
        </w:rPr>
        <w:t>In 2020, the Commission resolved 36 competition cases (12 merger consent orders, 9 merger cases filed, 11 mergers abandoned, 3 non-merger cases, 1 civil penalty). In the consumer protection area, the FTC filed 21 administrative cases and 66 federal court cases.</w:t>
      </w:r>
      <w:r w:rsidRPr="004A4D63">
        <w:rPr>
          <w:rStyle w:val="FootnoteReference"/>
          <w:sz w:val="28"/>
          <w:szCs w:val="28"/>
        </w:rPr>
        <w:footnoteReference w:id="34"/>
      </w:r>
      <w:r w:rsidRPr="004A4D63">
        <w:rPr>
          <w:sz w:val="28"/>
          <w:szCs w:val="28"/>
        </w:rPr>
        <w:t xml:space="preserve">  </w:t>
      </w:r>
    </w:p>
    <w:p w14:paraId="4AE7D61F" w14:textId="77CD0608" w:rsidR="003121EB" w:rsidRPr="004A4D63" w:rsidRDefault="00715F92" w:rsidP="0065383A">
      <w:pPr>
        <w:spacing w:line="480" w:lineRule="auto"/>
        <w:rPr>
          <w:b/>
          <w:bCs/>
          <w:sz w:val="28"/>
          <w:szCs w:val="28"/>
        </w:rPr>
      </w:pPr>
      <w:r w:rsidRPr="004A4D63">
        <w:rPr>
          <w:b/>
          <w:bCs/>
          <w:sz w:val="28"/>
          <w:szCs w:val="28"/>
        </w:rPr>
        <w:t xml:space="preserve">C. </w:t>
      </w:r>
      <w:r w:rsidR="003E1AE6" w:rsidRPr="004A4D63">
        <w:rPr>
          <w:b/>
          <w:bCs/>
          <w:sz w:val="28"/>
          <w:szCs w:val="28"/>
        </w:rPr>
        <w:t>FEDERAL COMMUNICATIONS COMMISSION (</w:t>
      </w:r>
      <w:r w:rsidR="003121EB" w:rsidRPr="004A4D63">
        <w:rPr>
          <w:b/>
          <w:bCs/>
          <w:sz w:val="28"/>
          <w:szCs w:val="28"/>
        </w:rPr>
        <w:t>FCC</w:t>
      </w:r>
      <w:r w:rsidR="003E1AE6" w:rsidRPr="004A4D63">
        <w:rPr>
          <w:b/>
          <w:bCs/>
          <w:sz w:val="28"/>
          <w:szCs w:val="28"/>
        </w:rPr>
        <w:t>)</w:t>
      </w:r>
    </w:p>
    <w:p w14:paraId="68605929" w14:textId="6A6B8771" w:rsidR="00464715" w:rsidRPr="004A4D63" w:rsidRDefault="009A2ADF" w:rsidP="0065383A">
      <w:pPr>
        <w:spacing w:line="480" w:lineRule="auto"/>
        <w:rPr>
          <w:color w:val="3D3D3D"/>
          <w:sz w:val="28"/>
          <w:szCs w:val="28"/>
          <w:shd w:val="clear" w:color="auto" w:fill="FFFFFF"/>
        </w:rPr>
      </w:pPr>
      <w:r w:rsidRPr="004A4D63">
        <w:rPr>
          <w:sz w:val="28"/>
          <w:szCs w:val="28"/>
        </w:rPr>
        <w:tab/>
        <w:t xml:space="preserve">The FCC’s Enforcement Bureau (EB) investigates a broad range of complaints against licensees, manufacturers of </w:t>
      </w:r>
      <w:r w:rsidR="00614DE3" w:rsidRPr="004A4D63">
        <w:rPr>
          <w:sz w:val="28"/>
          <w:szCs w:val="28"/>
        </w:rPr>
        <w:t>t</w:t>
      </w:r>
      <w:r w:rsidRPr="004A4D63">
        <w:rPr>
          <w:sz w:val="28"/>
          <w:szCs w:val="28"/>
        </w:rPr>
        <w:t>elecommuni</w:t>
      </w:r>
      <w:r w:rsidR="00614DE3" w:rsidRPr="004A4D63">
        <w:rPr>
          <w:sz w:val="28"/>
          <w:szCs w:val="28"/>
        </w:rPr>
        <w:t>c</w:t>
      </w:r>
      <w:r w:rsidRPr="004A4D63">
        <w:rPr>
          <w:sz w:val="28"/>
          <w:szCs w:val="28"/>
        </w:rPr>
        <w:t>ations</w:t>
      </w:r>
      <w:r w:rsidR="00614DE3" w:rsidRPr="004A4D63">
        <w:rPr>
          <w:sz w:val="28"/>
          <w:szCs w:val="28"/>
        </w:rPr>
        <w:t xml:space="preserve"> </w:t>
      </w:r>
      <w:r w:rsidRPr="004A4D63">
        <w:rPr>
          <w:sz w:val="28"/>
          <w:szCs w:val="28"/>
        </w:rPr>
        <w:t>equ</w:t>
      </w:r>
      <w:r w:rsidR="00614DE3" w:rsidRPr="004A4D63">
        <w:rPr>
          <w:sz w:val="28"/>
          <w:szCs w:val="28"/>
        </w:rPr>
        <w:t>i</w:t>
      </w:r>
      <w:r w:rsidRPr="004A4D63">
        <w:rPr>
          <w:sz w:val="28"/>
          <w:szCs w:val="28"/>
        </w:rPr>
        <w:t xml:space="preserve">pment, </w:t>
      </w:r>
      <w:r w:rsidR="00614DE3" w:rsidRPr="004A4D63">
        <w:rPr>
          <w:sz w:val="28"/>
          <w:szCs w:val="28"/>
        </w:rPr>
        <w:t>robo-callers, and others.</w:t>
      </w:r>
      <w:r w:rsidR="00614DE3" w:rsidRPr="004A4D63">
        <w:rPr>
          <w:rStyle w:val="FootnoteReference"/>
          <w:sz w:val="28"/>
          <w:szCs w:val="28"/>
        </w:rPr>
        <w:footnoteReference w:id="35"/>
      </w:r>
      <w:r w:rsidR="00614DE3" w:rsidRPr="004A4D63">
        <w:rPr>
          <w:sz w:val="28"/>
          <w:szCs w:val="28"/>
        </w:rPr>
        <w:t xml:space="preserve"> </w:t>
      </w:r>
      <w:r w:rsidR="00DC7895" w:rsidRPr="004A4D63">
        <w:rPr>
          <w:sz w:val="28"/>
          <w:szCs w:val="28"/>
        </w:rPr>
        <w:t xml:space="preserve">The </w:t>
      </w:r>
      <w:r w:rsidR="001F0564" w:rsidRPr="004A4D63">
        <w:rPr>
          <w:color w:val="3D3D3D"/>
          <w:sz w:val="28"/>
          <w:szCs w:val="28"/>
          <w:shd w:val="clear" w:color="auto" w:fill="FFFFFF"/>
        </w:rPr>
        <w:t xml:space="preserve">FCC has </w:t>
      </w:r>
      <w:r w:rsidR="00DA6B21" w:rsidRPr="004A4D63">
        <w:rPr>
          <w:color w:val="3D3D3D"/>
          <w:sz w:val="28"/>
          <w:szCs w:val="28"/>
          <w:shd w:val="clear" w:color="auto" w:fill="FFFFFF"/>
        </w:rPr>
        <w:t xml:space="preserve">no formalized process </w:t>
      </w:r>
      <w:r w:rsidR="00AF2D00">
        <w:rPr>
          <w:color w:val="3D3D3D"/>
          <w:sz w:val="28"/>
          <w:szCs w:val="28"/>
          <w:shd w:val="clear" w:color="auto" w:fill="FFFFFF"/>
        </w:rPr>
        <w:t>t</w:t>
      </w:r>
      <w:r w:rsidR="0007487E">
        <w:rPr>
          <w:color w:val="3D3D3D"/>
          <w:sz w:val="28"/>
          <w:szCs w:val="28"/>
          <w:shd w:val="clear" w:color="auto" w:fill="FFFFFF"/>
        </w:rPr>
        <w:t>o</w:t>
      </w:r>
      <w:r w:rsidR="00AF2D00">
        <w:rPr>
          <w:color w:val="3D3D3D"/>
          <w:sz w:val="28"/>
          <w:szCs w:val="28"/>
          <w:shd w:val="clear" w:color="auto" w:fill="FFFFFF"/>
        </w:rPr>
        <w:t xml:space="preserve"> provide notice to targets and allow them to comment </w:t>
      </w:r>
      <w:r w:rsidR="00DC7895" w:rsidRPr="004A4D63">
        <w:rPr>
          <w:color w:val="3D3D3D"/>
          <w:sz w:val="28"/>
          <w:szCs w:val="28"/>
          <w:shd w:val="clear" w:color="auto" w:fill="FFFFFF"/>
        </w:rPr>
        <w:t>during the investigation process. If the staff concludes that a target should be charged</w:t>
      </w:r>
      <w:r w:rsidR="003E6DB7" w:rsidRPr="004A4D63">
        <w:rPr>
          <w:color w:val="3D3D3D"/>
          <w:sz w:val="28"/>
          <w:szCs w:val="28"/>
          <w:shd w:val="clear" w:color="auto" w:fill="FFFFFF"/>
        </w:rPr>
        <w:t>, i</w:t>
      </w:r>
      <w:r w:rsidR="00DC7895" w:rsidRPr="004A4D63">
        <w:rPr>
          <w:color w:val="3D3D3D"/>
          <w:sz w:val="28"/>
          <w:szCs w:val="28"/>
          <w:shd w:val="clear" w:color="auto" w:fill="FFFFFF"/>
        </w:rPr>
        <w:t xml:space="preserve">t </w:t>
      </w:r>
      <w:r w:rsidR="00852852" w:rsidRPr="004A4D63">
        <w:rPr>
          <w:color w:val="3D3D3D"/>
          <w:sz w:val="28"/>
          <w:szCs w:val="28"/>
          <w:shd w:val="clear" w:color="auto" w:fill="FFFFFF"/>
        </w:rPr>
        <w:t xml:space="preserve">prepares </w:t>
      </w:r>
      <w:r w:rsidR="00DC7895" w:rsidRPr="004A4D63">
        <w:rPr>
          <w:color w:val="3D3D3D"/>
          <w:sz w:val="28"/>
          <w:szCs w:val="28"/>
          <w:shd w:val="clear" w:color="auto" w:fill="FFFFFF"/>
        </w:rPr>
        <w:t xml:space="preserve">a </w:t>
      </w:r>
      <w:r w:rsidR="00514837" w:rsidRPr="004A4D63">
        <w:rPr>
          <w:color w:val="3D3D3D"/>
          <w:sz w:val="28"/>
          <w:szCs w:val="28"/>
          <w:shd w:val="clear" w:color="auto" w:fill="FFFFFF"/>
        </w:rPr>
        <w:t xml:space="preserve">detailed </w:t>
      </w:r>
      <w:r w:rsidR="00DC7895" w:rsidRPr="004A4D63">
        <w:rPr>
          <w:color w:val="3D3D3D"/>
          <w:sz w:val="28"/>
          <w:szCs w:val="28"/>
          <w:shd w:val="clear" w:color="auto" w:fill="FFFFFF"/>
        </w:rPr>
        <w:t>Notice of Apparent Liability (NAL)</w:t>
      </w:r>
      <w:r w:rsidR="003E6DB7" w:rsidRPr="004A4D63">
        <w:rPr>
          <w:color w:val="3D3D3D"/>
          <w:sz w:val="28"/>
          <w:szCs w:val="28"/>
          <w:shd w:val="clear" w:color="auto" w:fill="FFFFFF"/>
        </w:rPr>
        <w:t>.</w:t>
      </w:r>
      <w:r w:rsidR="00635440" w:rsidRPr="004A4D63">
        <w:rPr>
          <w:color w:val="3D3D3D"/>
          <w:sz w:val="28"/>
          <w:szCs w:val="28"/>
          <w:shd w:val="clear" w:color="auto" w:fill="FFFFFF"/>
        </w:rPr>
        <w:t xml:space="preserve"> </w:t>
      </w:r>
      <w:r w:rsidR="003E6DB7" w:rsidRPr="004A4D63">
        <w:rPr>
          <w:color w:val="3D3D3D"/>
          <w:sz w:val="28"/>
          <w:szCs w:val="28"/>
          <w:shd w:val="clear" w:color="auto" w:fill="FFFFFF"/>
        </w:rPr>
        <w:t xml:space="preserve">The NAL can seek a civil money penalty (called a “forfeiture” in FCC parlance) or a licensee sanction (such as revocation). </w:t>
      </w:r>
    </w:p>
    <w:p w14:paraId="2506F736" w14:textId="2C6DD694" w:rsidR="00464715" w:rsidRPr="004A4D63" w:rsidRDefault="00464715" w:rsidP="0065383A">
      <w:pPr>
        <w:spacing w:line="480" w:lineRule="auto"/>
        <w:rPr>
          <w:color w:val="3D3D3D"/>
          <w:sz w:val="28"/>
          <w:szCs w:val="28"/>
          <w:shd w:val="clear" w:color="auto" w:fill="FFFFFF"/>
        </w:rPr>
      </w:pPr>
      <w:r w:rsidRPr="004A4D63">
        <w:rPr>
          <w:color w:val="3D3D3D"/>
          <w:sz w:val="28"/>
          <w:szCs w:val="28"/>
          <w:shd w:val="clear" w:color="auto" w:fill="FFFFFF"/>
        </w:rPr>
        <w:t xml:space="preserve">       The staff has delegated authority to issue an NAL for a civil penalty that does not exceed $100,000 for common carriers and $25,000 for other entities. NALs </w:t>
      </w:r>
      <w:r w:rsidRPr="004A4D63">
        <w:rPr>
          <w:color w:val="3D3D3D"/>
          <w:sz w:val="28"/>
          <w:szCs w:val="28"/>
          <w:shd w:val="clear" w:color="auto" w:fill="FFFFFF"/>
        </w:rPr>
        <w:lastRenderedPageBreak/>
        <w:t>that propose greater amounts must be greenlighted by the full Commission.</w:t>
      </w:r>
      <w:r w:rsidRPr="004A4D63">
        <w:rPr>
          <w:rStyle w:val="FootnoteReference"/>
          <w:color w:val="3D3D3D"/>
          <w:sz w:val="28"/>
          <w:szCs w:val="28"/>
          <w:shd w:val="clear" w:color="auto" w:fill="FFFFFF"/>
        </w:rPr>
        <w:footnoteReference w:id="36"/>
      </w:r>
      <w:r w:rsidRPr="004A4D63">
        <w:rPr>
          <w:color w:val="3D3D3D"/>
          <w:sz w:val="28"/>
          <w:szCs w:val="28"/>
          <w:shd w:val="clear" w:color="auto" w:fill="FFFFFF"/>
        </w:rPr>
        <w:t xml:space="preserve"> The charging decision in cases involving licensee discipline other than civil penalties must also be approved by the full Commission. Commission approval is not required for settlements negotiated by staff. The Enforcement Bureau might consider about 450 cases a year and issue about 200-300 NALs, m</w:t>
      </w:r>
      <w:r w:rsidR="00FD7FD9" w:rsidRPr="004A4D63">
        <w:rPr>
          <w:color w:val="3D3D3D"/>
          <w:sz w:val="28"/>
          <w:szCs w:val="28"/>
          <w:shd w:val="clear" w:color="auto" w:fill="FFFFFF"/>
        </w:rPr>
        <w:t xml:space="preserve">ost </w:t>
      </w:r>
      <w:r w:rsidRPr="004A4D63">
        <w:rPr>
          <w:color w:val="3D3D3D"/>
          <w:sz w:val="28"/>
          <w:szCs w:val="28"/>
          <w:shd w:val="clear" w:color="auto" w:fill="FFFFFF"/>
        </w:rPr>
        <w:t>of which are settled. The Commission might exercise its greenlighting function in perhaps 20 to 40 enforcement cases per year.</w:t>
      </w:r>
      <w:r w:rsidRPr="004A4D63">
        <w:rPr>
          <w:rStyle w:val="FootnoteReference"/>
          <w:color w:val="3D3D3D"/>
          <w:sz w:val="28"/>
          <w:szCs w:val="28"/>
          <w:shd w:val="clear" w:color="auto" w:fill="FFFFFF"/>
        </w:rPr>
        <w:footnoteReference w:id="37"/>
      </w:r>
      <w:r w:rsidRPr="004A4D63">
        <w:rPr>
          <w:color w:val="3D3D3D"/>
          <w:sz w:val="28"/>
          <w:szCs w:val="28"/>
          <w:shd w:val="clear" w:color="auto" w:fill="FFFFFF"/>
        </w:rPr>
        <w:t xml:space="preserve"> </w:t>
      </w:r>
      <w:r w:rsidRPr="004A4D63">
        <w:rPr>
          <w:color w:val="3D3D3D"/>
          <w:sz w:val="28"/>
          <w:szCs w:val="28"/>
          <w:shd w:val="clear" w:color="auto" w:fill="FFFFFF"/>
        </w:rPr>
        <w:tab/>
      </w:r>
    </w:p>
    <w:p w14:paraId="5394DF89" w14:textId="3926D144" w:rsidR="00852852" w:rsidRPr="004A4D63" w:rsidRDefault="00464715" w:rsidP="0065383A">
      <w:pPr>
        <w:spacing w:line="480" w:lineRule="auto"/>
        <w:rPr>
          <w:color w:val="3D3D3D"/>
          <w:sz w:val="28"/>
          <w:szCs w:val="28"/>
          <w:shd w:val="clear" w:color="auto" w:fill="FFFFFF"/>
        </w:rPr>
      </w:pPr>
      <w:r w:rsidRPr="004A4D63">
        <w:rPr>
          <w:color w:val="3D3D3D"/>
          <w:sz w:val="28"/>
          <w:szCs w:val="28"/>
          <w:shd w:val="clear" w:color="auto" w:fill="FFFFFF"/>
        </w:rPr>
        <w:tab/>
      </w:r>
      <w:r w:rsidR="002408BF" w:rsidRPr="004A4D63">
        <w:rPr>
          <w:color w:val="3D3D3D"/>
          <w:sz w:val="28"/>
          <w:szCs w:val="28"/>
          <w:shd w:val="clear" w:color="auto" w:fill="FFFFFF"/>
        </w:rPr>
        <w:t>T</w:t>
      </w:r>
      <w:r w:rsidRPr="004A4D63">
        <w:rPr>
          <w:color w:val="3D3D3D"/>
          <w:sz w:val="28"/>
          <w:szCs w:val="28"/>
          <w:shd w:val="clear" w:color="auto" w:fill="FFFFFF"/>
        </w:rPr>
        <w:t xml:space="preserve">he Chair has substantial authority over </w:t>
      </w:r>
      <w:r w:rsidR="00AF2D00">
        <w:rPr>
          <w:color w:val="3D3D3D"/>
          <w:sz w:val="28"/>
          <w:szCs w:val="28"/>
          <w:shd w:val="clear" w:color="auto" w:fill="FFFFFF"/>
        </w:rPr>
        <w:t xml:space="preserve">whether the staff will issue an NAL in a specific case and </w:t>
      </w:r>
      <w:r w:rsidRPr="004A4D63">
        <w:rPr>
          <w:color w:val="3D3D3D"/>
          <w:sz w:val="28"/>
          <w:szCs w:val="28"/>
          <w:shd w:val="clear" w:color="auto" w:fill="FFFFFF"/>
        </w:rPr>
        <w:t xml:space="preserve">when </w:t>
      </w:r>
      <w:r w:rsidR="002408BF" w:rsidRPr="004A4D63">
        <w:rPr>
          <w:color w:val="3D3D3D"/>
          <w:sz w:val="28"/>
          <w:szCs w:val="28"/>
          <w:shd w:val="clear" w:color="auto" w:fill="FFFFFF"/>
        </w:rPr>
        <w:t>an NAL</w:t>
      </w:r>
      <w:r w:rsidRPr="004A4D63">
        <w:rPr>
          <w:color w:val="3D3D3D"/>
          <w:sz w:val="28"/>
          <w:szCs w:val="28"/>
          <w:shd w:val="clear" w:color="auto" w:fill="FFFFFF"/>
        </w:rPr>
        <w:t xml:space="preserve"> will be presented</w:t>
      </w:r>
      <w:r w:rsidR="00AF2D00">
        <w:rPr>
          <w:color w:val="3D3D3D"/>
          <w:sz w:val="28"/>
          <w:szCs w:val="28"/>
          <w:shd w:val="clear" w:color="auto" w:fill="FFFFFF"/>
        </w:rPr>
        <w:t xml:space="preserve"> to the Commission</w:t>
      </w:r>
      <w:r w:rsidRPr="004A4D63">
        <w:rPr>
          <w:color w:val="3D3D3D"/>
          <w:sz w:val="28"/>
          <w:szCs w:val="28"/>
          <w:shd w:val="clear" w:color="auto" w:fill="FFFFFF"/>
        </w:rPr>
        <w:t>.</w:t>
      </w:r>
      <w:r w:rsidR="00261DA2" w:rsidRPr="004A4D63">
        <w:rPr>
          <w:color w:val="3D3D3D"/>
          <w:sz w:val="28"/>
          <w:szCs w:val="28"/>
          <w:shd w:val="clear" w:color="auto" w:fill="FFFFFF"/>
        </w:rPr>
        <w:t xml:space="preserve"> </w:t>
      </w:r>
      <w:r w:rsidRPr="004A4D63">
        <w:rPr>
          <w:color w:val="3D3D3D"/>
          <w:sz w:val="28"/>
          <w:szCs w:val="28"/>
          <w:shd w:val="clear" w:color="auto" w:fill="FFFFFF"/>
        </w:rPr>
        <w:t>The EB does not produce an additional confidential document about the case for the commissioners to consider, but it may conduct ex parte conversations with commissioners or their advisory staffs.</w:t>
      </w:r>
      <w:r w:rsidRPr="004A4D63">
        <w:rPr>
          <w:rStyle w:val="FootnoteReference"/>
          <w:color w:val="3D3D3D"/>
          <w:sz w:val="28"/>
          <w:szCs w:val="28"/>
          <w:shd w:val="clear" w:color="auto" w:fill="FFFFFF"/>
        </w:rPr>
        <w:footnoteReference w:id="38"/>
      </w:r>
      <w:r w:rsidRPr="004A4D63">
        <w:rPr>
          <w:color w:val="3D3D3D"/>
          <w:sz w:val="28"/>
          <w:szCs w:val="28"/>
          <w:shd w:val="clear" w:color="auto" w:fill="FFFFFF"/>
        </w:rPr>
        <w:t xml:space="preserve"> Normally, the Commission votes whether to approve the NAL and declare a forfeiture through a system of notational voting, rather than an in-person meeting. The Commission usually greenlights the NAL</w:t>
      </w:r>
      <w:r w:rsidR="00FD7FD9" w:rsidRPr="004A4D63">
        <w:rPr>
          <w:color w:val="3D3D3D"/>
          <w:sz w:val="28"/>
          <w:szCs w:val="28"/>
          <w:shd w:val="clear" w:color="auto" w:fill="FFFFFF"/>
        </w:rPr>
        <w:t>,</w:t>
      </w:r>
      <w:r w:rsidRPr="004A4D63">
        <w:rPr>
          <w:color w:val="3D3D3D"/>
          <w:sz w:val="28"/>
          <w:szCs w:val="28"/>
          <w:shd w:val="clear" w:color="auto" w:fill="FFFFFF"/>
        </w:rPr>
        <w:t xml:space="preserve"> although there have been </w:t>
      </w:r>
      <w:r w:rsidR="00FD7FD9" w:rsidRPr="004A4D63">
        <w:rPr>
          <w:color w:val="3D3D3D"/>
          <w:sz w:val="28"/>
          <w:szCs w:val="28"/>
          <w:shd w:val="clear" w:color="auto" w:fill="FFFFFF"/>
        </w:rPr>
        <w:t>in</w:t>
      </w:r>
      <w:r w:rsidRPr="004A4D63">
        <w:rPr>
          <w:color w:val="3D3D3D"/>
          <w:sz w:val="28"/>
          <w:szCs w:val="28"/>
          <w:shd w:val="clear" w:color="auto" w:fill="FFFFFF"/>
        </w:rPr>
        <w:t>stances where it refused to do so</w:t>
      </w:r>
      <w:r w:rsidR="002408BF" w:rsidRPr="004A4D63">
        <w:rPr>
          <w:color w:val="3D3D3D"/>
          <w:sz w:val="28"/>
          <w:szCs w:val="28"/>
          <w:shd w:val="clear" w:color="auto" w:fill="FFFFFF"/>
        </w:rPr>
        <w:t xml:space="preserve">, often resulting from </w:t>
      </w:r>
      <w:r w:rsidRPr="004A4D63">
        <w:rPr>
          <w:color w:val="3D3D3D"/>
          <w:sz w:val="28"/>
          <w:szCs w:val="28"/>
          <w:shd w:val="clear" w:color="auto" w:fill="FFFFFF"/>
        </w:rPr>
        <w:t>shifts in the membership of the Commission. There are occasional dissents to decision</w:t>
      </w:r>
      <w:r w:rsidR="0007487E">
        <w:rPr>
          <w:color w:val="3D3D3D"/>
          <w:sz w:val="28"/>
          <w:szCs w:val="28"/>
          <w:shd w:val="clear" w:color="auto" w:fill="FFFFFF"/>
        </w:rPr>
        <w:t>s</w:t>
      </w:r>
      <w:r w:rsidRPr="004A4D63">
        <w:rPr>
          <w:color w:val="3D3D3D"/>
          <w:sz w:val="28"/>
          <w:szCs w:val="28"/>
          <w:shd w:val="clear" w:color="auto" w:fill="FFFFFF"/>
        </w:rPr>
        <w:t xml:space="preserve"> issuing forfeiture</w:t>
      </w:r>
      <w:r w:rsidR="0007487E">
        <w:rPr>
          <w:color w:val="3D3D3D"/>
          <w:sz w:val="28"/>
          <w:szCs w:val="28"/>
          <w:shd w:val="clear" w:color="auto" w:fill="FFFFFF"/>
        </w:rPr>
        <w:t>s</w:t>
      </w:r>
      <w:r w:rsidRPr="004A4D63">
        <w:rPr>
          <w:color w:val="3D3D3D"/>
          <w:sz w:val="28"/>
          <w:szCs w:val="28"/>
          <w:shd w:val="clear" w:color="auto" w:fill="FFFFFF"/>
        </w:rPr>
        <w:t xml:space="preserve">. </w:t>
      </w:r>
    </w:p>
    <w:p w14:paraId="4DC65EA4" w14:textId="6A0F616A" w:rsidR="003C003B" w:rsidRPr="004A4D63" w:rsidRDefault="00464715" w:rsidP="0065383A">
      <w:pPr>
        <w:spacing w:line="480" w:lineRule="auto"/>
        <w:rPr>
          <w:color w:val="3D3D3D"/>
          <w:sz w:val="28"/>
          <w:szCs w:val="28"/>
          <w:shd w:val="clear" w:color="auto" w:fill="FFFFFF"/>
        </w:rPr>
      </w:pPr>
      <w:r w:rsidRPr="004A4D63">
        <w:rPr>
          <w:color w:val="3D3D3D"/>
          <w:sz w:val="28"/>
          <w:szCs w:val="28"/>
          <w:shd w:val="clear" w:color="auto" w:fill="FFFFFF"/>
        </w:rPr>
        <w:lastRenderedPageBreak/>
        <w:tab/>
        <w:t>If the EB issues an NAL under delegated authority or if the Commission greenlights the NAL, t</w:t>
      </w:r>
      <w:r w:rsidR="003E6DB7" w:rsidRPr="004A4D63">
        <w:rPr>
          <w:color w:val="3D3D3D"/>
          <w:sz w:val="28"/>
          <w:szCs w:val="28"/>
          <w:shd w:val="clear" w:color="auto" w:fill="FFFFFF"/>
        </w:rPr>
        <w:t>he target can file a detailed response to the NAL.</w:t>
      </w:r>
      <w:r w:rsidRPr="004A4D63">
        <w:rPr>
          <w:color w:val="3D3D3D"/>
          <w:sz w:val="28"/>
          <w:szCs w:val="28"/>
          <w:shd w:val="clear" w:color="auto" w:fill="FFFFFF"/>
        </w:rPr>
        <w:t xml:space="preserve"> </w:t>
      </w:r>
      <w:r w:rsidR="00DC67D5" w:rsidRPr="004A4D63">
        <w:rPr>
          <w:color w:val="3D3D3D"/>
          <w:sz w:val="28"/>
          <w:szCs w:val="28"/>
          <w:shd w:val="clear" w:color="auto" w:fill="FFFFFF"/>
        </w:rPr>
        <w:t xml:space="preserve">After </w:t>
      </w:r>
      <w:r w:rsidR="003C003B" w:rsidRPr="004A4D63">
        <w:rPr>
          <w:color w:val="3D3D3D"/>
          <w:sz w:val="28"/>
          <w:szCs w:val="28"/>
          <w:shd w:val="clear" w:color="auto" w:fill="FFFFFF"/>
        </w:rPr>
        <w:t xml:space="preserve">issuance of an NAL, targets have </w:t>
      </w:r>
      <w:r w:rsidR="00DE02C7" w:rsidRPr="004A4D63">
        <w:rPr>
          <w:color w:val="3D3D3D"/>
          <w:sz w:val="28"/>
          <w:szCs w:val="28"/>
          <w:shd w:val="clear" w:color="auto" w:fill="FFFFFF"/>
        </w:rPr>
        <w:t xml:space="preserve">the </w:t>
      </w:r>
      <w:r w:rsidR="003C003B" w:rsidRPr="004A4D63">
        <w:rPr>
          <w:color w:val="3D3D3D"/>
          <w:sz w:val="28"/>
          <w:szCs w:val="28"/>
          <w:shd w:val="clear" w:color="auto" w:fill="FFFFFF"/>
        </w:rPr>
        <w:t xml:space="preserve">opportunity to meet with FCC </w:t>
      </w:r>
      <w:r w:rsidR="00DA6B21" w:rsidRPr="004A4D63">
        <w:rPr>
          <w:color w:val="3D3D3D"/>
          <w:sz w:val="28"/>
          <w:szCs w:val="28"/>
          <w:shd w:val="clear" w:color="auto" w:fill="FFFFFF"/>
        </w:rPr>
        <w:t>c</w:t>
      </w:r>
      <w:r w:rsidR="003C003B" w:rsidRPr="004A4D63">
        <w:rPr>
          <w:color w:val="3D3D3D"/>
          <w:sz w:val="28"/>
          <w:szCs w:val="28"/>
          <w:shd w:val="clear" w:color="auto" w:fill="FFFFFF"/>
        </w:rPr>
        <w:t>ommissioners separately in meetings attended by enforcement staff</w:t>
      </w:r>
      <w:r w:rsidR="0083193E" w:rsidRPr="004A4D63">
        <w:rPr>
          <w:color w:val="3D3D3D"/>
          <w:sz w:val="28"/>
          <w:szCs w:val="28"/>
          <w:shd w:val="clear" w:color="auto" w:fill="FFFFFF"/>
        </w:rPr>
        <w:t>.</w:t>
      </w:r>
      <w:r w:rsidR="00FD7FD9" w:rsidRPr="004A4D63">
        <w:rPr>
          <w:rStyle w:val="FootnoteReference"/>
          <w:sz w:val="28"/>
          <w:szCs w:val="28"/>
        </w:rPr>
        <w:footnoteReference w:id="39"/>
      </w:r>
      <w:r w:rsidR="00311CB4" w:rsidRPr="004A4D63">
        <w:rPr>
          <w:color w:val="3D3D3D"/>
          <w:sz w:val="28"/>
          <w:szCs w:val="28"/>
          <w:shd w:val="clear" w:color="auto" w:fill="FFFFFF"/>
        </w:rPr>
        <w:t xml:space="preserve"> If the </w:t>
      </w:r>
      <w:r w:rsidR="000161E0" w:rsidRPr="004A4D63">
        <w:rPr>
          <w:color w:val="3D3D3D"/>
          <w:sz w:val="28"/>
          <w:szCs w:val="28"/>
          <w:shd w:val="clear" w:color="auto" w:fill="FFFFFF"/>
        </w:rPr>
        <w:t xml:space="preserve">FCC members </w:t>
      </w:r>
      <w:r w:rsidR="00311CB4" w:rsidRPr="004A4D63">
        <w:rPr>
          <w:color w:val="3D3D3D"/>
          <w:sz w:val="28"/>
          <w:szCs w:val="28"/>
          <w:shd w:val="clear" w:color="auto" w:fill="FFFFFF"/>
        </w:rPr>
        <w:t>are not persuaded by the target’s response to the NAL, the</w:t>
      </w:r>
      <w:r w:rsidR="000161E0" w:rsidRPr="004A4D63">
        <w:rPr>
          <w:color w:val="3D3D3D"/>
          <w:sz w:val="28"/>
          <w:szCs w:val="28"/>
          <w:shd w:val="clear" w:color="auto" w:fill="FFFFFF"/>
        </w:rPr>
        <w:t>y</w:t>
      </w:r>
      <w:r w:rsidR="00311CB4" w:rsidRPr="004A4D63">
        <w:rPr>
          <w:color w:val="3D3D3D"/>
          <w:sz w:val="28"/>
          <w:szCs w:val="28"/>
          <w:shd w:val="clear" w:color="auto" w:fill="FFFFFF"/>
        </w:rPr>
        <w:t xml:space="preserve"> issue a notice of forfeiture.</w:t>
      </w:r>
      <w:r w:rsidR="00311CB4" w:rsidRPr="004A4D63">
        <w:rPr>
          <w:rStyle w:val="FootnoteReference"/>
          <w:color w:val="3D3D3D"/>
          <w:sz w:val="28"/>
          <w:szCs w:val="28"/>
          <w:shd w:val="clear" w:color="auto" w:fill="FFFFFF"/>
        </w:rPr>
        <w:footnoteReference w:id="40"/>
      </w:r>
      <w:r w:rsidR="00DC7895" w:rsidRPr="004A4D63">
        <w:rPr>
          <w:sz w:val="28"/>
          <w:szCs w:val="28"/>
        </w:rPr>
        <w:tab/>
      </w:r>
      <w:r w:rsidR="00514837" w:rsidRPr="004A4D63">
        <w:rPr>
          <w:color w:val="3D3D3D"/>
          <w:sz w:val="28"/>
          <w:szCs w:val="28"/>
          <w:shd w:val="clear" w:color="auto" w:fill="FFFFFF"/>
        </w:rPr>
        <w:t xml:space="preserve"> </w:t>
      </w:r>
    </w:p>
    <w:p w14:paraId="2C8C1A46" w14:textId="359115F1" w:rsidR="003E6DB7" w:rsidRPr="004A4D63" w:rsidRDefault="003C003B" w:rsidP="0065383A">
      <w:pPr>
        <w:spacing w:line="480" w:lineRule="auto"/>
        <w:rPr>
          <w:color w:val="3D3D3D"/>
          <w:sz w:val="28"/>
          <w:szCs w:val="28"/>
          <w:shd w:val="clear" w:color="auto" w:fill="FFFFFF"/>
        </w:rPr>
      </w:pPr>
      <w:r w:rsidRPr="004A4D63">
        <w:rPr>
          <w:color w:val="3D3D3D"/>
          <w:sz w:val="28"/>
          <w:szCs w:val="28"/>
          <w:shd w:val="clear" w:color="auto" w:fill="FFFFFF"/>
        </w:rPr>
        <w:tab/>
      </w:r>
      <w:r w:rsidR="00DC67D5" w:rsidRPr="004A4D63">
        <w:rPr>
          <w:color w:val="3D3D3D"/>
          <w:sz w:val="28"/>
          <w:szCs w:val="28"/>
          <w:shd w:val="clear" w:color="auto" w:fill="FFFFFF"/>
        </w:rPr>
        <w:t>T</w:t>
      </w:r>
      <w:r w:rsidR="00514837" w:rsidRPr="004A4D63">
        <w:rPr>
          <w:color w:val="3D3D3D"/>
          <w:sz w:val="28"/>
          <w:szCs w:val="28"/>
          <w:shd w:val="clear" w:color="auto" w:fill="FFFFFF"/>
        </w:rPr>
        <w:t xml:space="preserve">he FCC does not </w:t>
      </w:r>
      <w:r w:rsidR="00261DA2" w:rsidRPr="004A4D63">
        <w:rPr>
          <w:color w:val="3D3D3D"/>
          <w:sz w:val="28"/>
          <w:szCs w:val="28"/>
          <w:shd w:val="clear" w:color="auto" w:fill="FFFFFF"/>
        </w:rPr>
        <w:t xml:space="preserve">usually </w:t>
      </w:r>
      <w:r w:rsidR="00514837" w:rsidRPr="004A4D63">
        <w:rPr>
          <w:color w:val="3D3D3D"/>
          <w:sz w:val="28"/>
          <w:szCs w:val="28"/>
          <w:shd w:val="clear" w:color="auto" w:fill="FFFFFF"/>
        </w:rPr>
        <w:t>adjudicate civil penalty cases through ALJ hearings</w:t>
      </w:r>
      <w:r w:rsidR="00261DA2" w:rsidRPr="004A4D63">
        <w:rPr>
          <w:color w:val="3D3D3D"/>
          <w:sz w:val="28"/>
          <w:szCs w:val="28"/>
          <w:shd w:val="clear" w:color="auto" w:fill="FFFFFF"/>
        </w:rPr>
        <w:t xml:space="preserve"> (although it has the option to do so)</w:t>
      </w:r>
      <w:r w:rsidR="00514837" w:rsidRPr="004A4D63">
        <w:rPr>
          <w:color w:val="3D3D3D"/>
          <w:sz w:val="28"/>
          <w:szCs w:val="28"/>
          <w:shd w:val="clear" w:color="auto" w:fill="FFFFFF"/>
        </w:rPr>
        <w:t xml:space="preserve">.  ALJ hearings are </w:t>
      </w:r>
      <w:r w:rsidR="00021765" w:rsidRPr="004A4D63">
        <w:rPr>
          <w:color w:val="3D3D3D"/>
          <w:sz w:val="28"/>
          <w:szCs w:val="28"/>
          <w:shd w:val="clear" w:color="auto" w:fill="FFFFFF"/>
        </w:rPr>
        <w:t>provided in license</w:t>
      </w:r>
      <w:r w:rsidR="0083193E" w:rsidRPr="004A4D63">
        <w:rPr>
          <w:color w:val="3D3D3D"/>
          <w:sz w:val="28"/>
          <w:szCs w:val="28"/>
          <w:shd w:val="clear" w:color="auto" w:fill="FFFFFF"/>
        </w:rPr>
        <w:t>e</w:t>
      </w:r>
      <w:r w:rsidR="00021765" w:rsidRPr="004A4D63">
        <w:rPr>
          <w:color w:val="3D3D3D"/>
          <w:sz w:val="28"/>
          <w:szCs w:val="28"/>
          <w:shd w:val="clear" w:color="auto" w:fill="FFFFFF"/>
        </w:rPr>
        <w:t xml:space="preserve"> discipline cases</w:t>
      </w:r>
      <w:r w:rsidR="00514837" w:rsidRPr="004A4D63">
        <w:rPr>
          <w:color w:val="3D3D3D"/>
          <w:sz w:val="28"/>
          <w:szCs w:val="28"/>
          <w:shd w:val="clear" w:color="auto" w:fill="FFFFFF"/>
        </w:rPr>
        <w:t xml:space="preserve"> </w:t>
      </w:r>
      <w:r w:rsidR="0083193E" w:rsidRPr="004A4D63">
        <w:rPr>
          <w:color w:val="3D3D3D"/>
          <w:sz w:val="28"/>
          <w:szCs w:val="28"/>
          <w:shd w:val="clear" w:color="auto" w:fill="FFFFFF"/>
        </w:rPr>
        <w:t xml:space="preserve">that seek remedies </w:t>
      </w:r>
      <w:r w:rsidR="00DC67D5" w:rsidRPr="004A4D63">
        <w:rPr>
          <w:color w:val="3D3D3D"/>
          <w:sz w:val="28"/>
          <w:szCs w:val="28"/>
          <w:shd w:val="clear" w:color="auto" w:fill="FFFFFF"/>
        </w:rPr>
        <w:t>such as license revocation</w:t>
      </w:r>
      <w:r w:rsidR="000161E0" w:rsidRPr="004A4D63">
        <w:rPr>
          <w:color w:val="3D3D3D"/>
          <w:sz w:val="28"/>
          <w:szCs w:val="28"/>
          <w:shd w:val="clear" w:color="auto" w:fill="FFFFFF"/>
        </w:rPr>
        <w:t xml:space="preserve"> rather than civil penalties</w:t>
      </w:r>
      <w:r w:rsidR="00DC67D5" w:rsidRPr="004A4D63">
        <w:rPr>
          <w:color w:val="3D3D3D"/>
          <w:sz w:val="28"/>
          <w:szCs w:val="28"/>
          <w:shd w:val="clear" w:color="auto" w:fill="FFFFFF"/>
        </w:rPr>
        <w:t>.</w:t>
      </w:r>
      <w:r w:rsidR="008841A0" w:rsidRPr="004A4D63">
        <w:rPr>
          <w:rStyle w:val="FootnoteReference"/>
          <w:color w:val="3D3D3D"/>
          <w:sz w:val="28"/>
          <w:szCs w:val="28"/>
          <w:shd w:val="clear" w:color="auto" w:fill="FFFFFF"/>
        </w:rPr>
        <w:footnoteReference w:id="41"/>
      </w:r>
      <w:r w:rsidR="00C87166" w:rsidRPr="004A4D63">
        <w:rPr>
          <w:color w:val="3D3D3D"/>
          <w:sz w:val="28"/>
          <w:szCs w:val="28"/>
          <w:shd w:val="clear" w:color="auto" w:fill="FFFFFF"/>
        </w:rPr>
        <w:t xml:space="preserve"> </w:t>
      </w:r>
      <w:r w:rsidRPr="004A4D63">
        <w:rPr>
          <w:color w:val="3D3D3D"/>
          <w:sz w:val="28"/>
          <w:szCs w:val="28"/>
          <w:shd w:val="clear" w:color="auto" w:fill="FFFFFF"/>
        </w:rPr>
        <w:t xml:space="preserve">The agency heads </w:t>
      </w:r>
      <w:r w:rsidR="00BE70B3" w:rsidRPr="004A4D63">
        <w:rPr>
          <w:color w:val="3D3D3D"/>
          <w:sz w:val="28"/>
          <w:szCs w:val="28"/>
          <w:shd w:val="clear" w:color="auto" w:fill="FFFFFF"/>
        </w:rPr>
        <w:t xml:space="preserve">normally </w:t>
      </w:r>
      <w:r w:rsidR="003E6DB7" w:rsidRPr="004A4D63">
        <w:rPr>
          <w:color w:val="3D3D3D"/>
          <w:sz w:val="28"/>
          <w:szCs w:val="28"/>
          <w:shd w:val="clear" w:color="auto" w:fill="FFFFFF"/>
        </w:rPr>
        <w:t xml:space="preserve">decide </w:t>
      </w:r>
      <w:r w:rsidR="006D0B0D" w:rsidRPr="004A4D63">
        <w:rPr>
          <w:color w:val="3D3D3D"/>
          <w:sz w:val="28"/>
          <w:szCs w:val="28"/>
          <w:shd w:val="clear" w:color="auto" w:fill="FFFFFF"/>
        </w:rPr>
        <w:t xml:space="preserve">civil penalty </w:t>
      </w:r>
      <w:r w:rsidRPr="004A4D63">
        <w:rPr>
          <w:color w:val="3D3D3D"/>
          <w:sz w:val="28"/>
          <w:szCs w:val="28"/>
          <w:shd w:val="clear" w:color="auto" w:fill="FFFFFF"/>
        </w:rPr>
        <w:t>case</w:t>
      </w:r>
      <w:r w:rsidR="006D0B0D" w:rsidRPr="004A4D63">
        <w:rPr>
          <w:color w:val="3D3D3D"/>
          <w:sz w:val="28"/>
          <w:szCs w:val="28"/>
          <w:shd w:val="clear" w:color="auto" w:fill="FFFFFF"/>
        </w:rPr>
        <w:t>s</w:t>
      </w:r>
      <w:r w:rsidRPr="004A4D63">
        <w:rPr>
          <w:color w:val="3D3D3D"/>
          <w:sz w:val="28"/>
          <w:szCs w:val="28"/>
          <w:shd w:val="clear" w:color="auto" w:fill="FFFFFF"/>
        </w:rPr>
        <w:t xml:space="preserve"> through consideration of documents in the file</w:t>
      </w:r>
      <w:r w:rsidR="0083193E" w:rsidRPr="004A4D63">
        <w:rPr>
          <w:color w:val="3D3D3D"/>
          <w:sz w:val="28"/>
          <w:szCs w:val="28"/>
          <w:shd w:val="clear" w:color="auto" w:fill="FFFFFF"/>
        </w:rPr>
        <w:t xml:space="preserve"> </w:t>
      </w:r>
      <w:r w:rsidR="003E6DB7" w:rsidRPr="004A4D63">
        <w:rPr>
          <w:color w:val="3D3D3D"/>
          <w:sz w:val="28"/>
          <w:szCs w:val="28"/>
          <w:shd w:val="clear" w:color="auto" w:fill="FFFFFF"/>
        </w:rPr>
        <w:t xml:space="preserve">(NAL and response) </w:t>
      </w:r>
      <w:r w:rsidR="0083193E" w:rsidRPr="004A4D63">
        <w:rPr>
          <w:color w:val="3D3D3D"/>
          <w:sz w:val="28"/>
          <w:szCs w:val="28"/>
          <w:shd w:val="clear" w:color="auto" w:fill="FFFFFF"/>
        </w:rPr>
        <w:t>rather than by trial-type hearing</w:t>
      </w:r>
      <w:r w:rsidR="00B4120B" w:rsidRPr="004A4D63">
        <w:rPr>
          <w:color w:val="3D3D3D"/>
          <w:sz w:val="28"/>
          <w:szCs w:val="28"/>
          <w:shd w:val="clear" w:color="auto" w:fill="FFFFFF"/>
        </w:rPr>
        <w:t>s</w:t>
      </w:r>
      <w:r w:rsidR="0083193E" w:rsidRPr="004A4D63">
        <w:rPr>
          <w:color w:val="3D3D3D"/>
          <w:sz w:val="28"/>
          <w:szCs w:val="28"/>
          <w:shd w:val="clear" w:color="auto" w:fill="FFFFFF"/>
        </w:rPr>
        <w:t>.</w:t>
      </w:r>
      <w:r w:rsidR="00464715" w:rsidRPr="004A4D63">
        <w:rPr>
          <w:color w:val="3D3D3D"/>
          <w:sz w:val="28"/>
          <w:szCs w:val="28"/>
          <w:shd w:val="clear" w:color="auto" w:fill="FFFFFF"/>
        </w:rPr>
        <w:t xml:space="preserve">  </w:t>
      </w:r>
      <w:r w:rsidR="003E6DB7" w:rsidRPr="004A4D63">
        <w:rPr>
          <w:color w:val="3D3D3D"/>
          <w:sz w:val="28"/>
          <w:szCs w:val="28"/>
          <w:shd w:val="clear" w:color="auto" w:fill="FFFFFF"/>
        </w:rPr>
        <w:t xml:space="preserve">The FCC does not regard this process as </w:t>
      </w:r>
      <w:r w:rsidR="00FF72B4" w:rsidRPr="004A4D63">
        <w:rPr>
          <w:color w:val="3D3D3D"/>
          <w:sz w:val="28"/>
          <w:szCs w:val="28"/>
          <w:shd w:val="clear" w:color="auto" w:fill="FFFFFF"/>
        </w:rPr>
        <w:t>“</w:t>
      </w:r>
      <w:r w:rsidR="003E6DB7" w:rsidRPr="004A4D63">
        <w:rPr>
          <w:color w:val="3D3D3D"/>
          <w:sz w:val="28"/>
          <w:szCs w:val="28"/>
          <w:shd w:val="clear" w:color="auto" w:fill="FFFFFF"/>
        </w:rPr>
        <w:t>adjudicatory,</w:t>
      </w:r>
      <w:r w:rsidR="00FF72B4" w:rsidRPr="004A4D63">
        <w:rPr>
          <w:color w:val="3D3D3D"/>
          <w:sz w:val="28"/>
          <w:szCs w:val="28"/>
          <w:shd w:val="clear" w:color="auto" w:fill="FFFFFF"/>
        </w:rPr>
        <w:t>”</w:t>
      </w:r>
      <w:r w:rsidR="003E6DB7" w:rsidRPr="004A4D63">
        <w:rPr>
          <w:color w:val="3D3D3D"/>
          <w:sz w:val="28"/>
          <w:szCs w:val="28"/>
          <w:shd w:val="clear" w:color="auto" w:fill="FFFFFF"/>
        </w:rPr>
        <w:t xml:space="preserve"> so </w:t>
      </w:r>
      <w:r w:rsidR="00311CB4" w:rsidRPr="004A4D63">
        <w:rPr>
          <w:color w:val="3D3D3D"/>
          <w:sz w:val="28"/>
          <w:szCs w:val="28"/>
          <w:shd w:val="clear" w:color="auto" w:fill="FFFFFF"/>
        </w:rPr>
        <w:t xml:space="preserve">the rules relating to internal </w:t>
      </w:r>
      <w:r w:rsidR="003E6DB7" w:rsidRPr="004A4D63">
        <w:rPr>
          <w:color w:val="3D3D3D"/>
          <w:sz w:val="28"/>
          <w:szCs w:val="28"/>
          <w:shd w:val="clear" w:color="auto" w:fill="FFFFFF"/>
        </w:rPr>
        <w:t>separation of functions do</w:t>
      </w:r>
      <w:r w:rsidR="00311CB4" w:rsidRPr="004A4D63">
        <w:rPr>
          <w:color w:val="3D3D3D"/>
          <w:sz w:val="28"/>
          <w:szCs w:val="28"/>
          <w:shd w:val="clear" w:color="auto" w:fill="FFFFFF"/>
        </w:rPr>
        <w:t xml:space="preserve"> </w:t>
      </w:r>
      <w:r w:rsidR="003E6DB7" w:rsidRPr="004A4D63">
        <w:rPr>
          <w:color w:val="3D3D3D"/>
          <w:sz w:val="28"/>
          <w:szCs w:val="28"/>
          <w:shd w:val="clear" w:color="auto" w:fill="FFFFFF"/>
        </w:rPr>
        <w:t xml:space="preserve">not apply. </w:t>
      </w:r>
      <w:r w:rsidR="00FF72B4" w:rsidRPr="004A4D63">
        <w:rPr>
          <w:color w:val="3D3D3D"/>
          <w:sz w:val="28"/>
          <w:szCs w:val="28"/>
          <w:shd w:val="clear" w:color="auto" w:fill="FFFFFF"/>
        </w:rPr>
        <w:t>Enforcement staff can and do speak off the record with the comm</w:t>
      </w:r>
      <w:r w:rsidR="00693E6B" w:rsidRPr="004A4D63">
        <w:rPr>
          <w:color w:val="3D3D3D"/>
          <w:sz w:val="28"/>
          <w:szCs w:val="28"/>
          <w:shd w:val="clear" w:color="auto" w:fill="FFFFFF"/>
        </w:rPr>
        <w:t>i</w:t>
      </w:r>
      <w:r w:rsidR="00FF72B4" w:rsidRPr="004A4D63">
        <w:rPr>
          <w:color w:val="3D3D3D"/>
          <w:sz w:val="28"/>
          <w:szCs w:val="28"/>
          <w:shd w:val="clear" w:color="auto" w:fill="FFFFFF"/>
        </w:rPr>
        <w:t>ssioners or their advisers at all points in the process.</w:t>
      </w:r>
      <w:r w:rsidR="00464715" w:rsidRPr="004A4D63">
        <w:rPr>
          <w:color w:val="3D3D3D"/>
          <w:sz w:val="28"/>
          <w:szCs w:val="28"/>
          <w:shd w:val="clear" w:color="auto" w:fill="FFFFFF"/>
        </w:rPr>
        <w:t xml:space="preserve"> </w:t>
      </w:r>
      <w:r w:rsidR="001677F1" w:rsidRPr="004A4D63">
        <w:rPr>
          <w:color w:val="3D3D3D"/>
          <w:sz w:val="28"/>
          <w:szCs w:val="28"/>
          <w:shd w:val="clear" w:color="auto" w:fill="FFFFFF"/>
        </w:rPr>
        <w:t xml:space="preserve">Separation of functions rules do apply, however, </w:t>
      </w:r>
      <w:r w:rsidR="000161E0" w:rsidRPr="004A4D63">
        <w:rPr>
          <w:color w:val="3D3D3D"/>
          <w:sz w:val="28"/>
          <w:szCs w:val="28"/>
          <w:shd w:val="clear" w:color="auto" w:fill="FFFFFF"/>
        </w:rPr>
        <w:t>to</w:t>
      </w:r>
      <w:r w:rsidR="001677F1" w:rsidRPr="004A4D63">
        <w:rPr>
          <w:color w:val="3D3D3D"/>
          <w:sz w:val="28"/>
          <w:szCs w:val="28"/>
          <w:shd w:val="clear" w:color="auto" w:fill="FFFFFF"/>
        </w:rPr>
        <w:t xml:space="preserve"> cases sent to an ALJ.</w:t>
      </w:r>
    </w:p>
    <w:p w14:paraId="3B0E3B3A" w14:textId="2FFAC4E2" w:rsidR="003121EB" w:rsidRPr="004A4D63" w:rsidRDefault="003E6DB7" w:rsidP="0065383A">
      <w:pPr>
        <w:spacing w:line="480" w:lineRule="auto"/>
        <w:rPr>
          <w:sz w:val="28"/>
          <w:szCs w:val="28"/>
        </w:rPr>
      </w:pPr>
      <w:r w:rsidRPr="004A4D63">
        <w:rPr>
          <w:color w:val="3D3D3D"/>
          <w:sz w:val="28"/>
          <w:szCs w:val="28"/>
          <w:shd w:val="clear" w:color="auto" w:fill="FFFFFF"/>
        </w:rPr>
        <w:tab/>
      </w:r>
      <w:r w:rsidR="007D2378" w:rsidRPr="004A4D63">
        <w:rPr>
          <w:color w:val="3D3D3D"/>
          <w:sz w:val="28"/>
          <w:szCs w:val="28"/>
          <w:shd w:val="clear" w:color="auto" w:fill="FFFFFF"/>
        </w:rPr>
        <w:t>T</w:t>
      </w:r>
      <w:r w:rsidR="00B4120B" w:rsidRPr="004A4D63">
        <w:rPr>
          <w:color w:val="3D3D3D"/>
          <w:sz w:val="28"/>
          <w:szCs w:val="28"/>
          <w:shd w:val="clear" w:color="auto" w:fill="FFFFFF"/>
        </w:rPr>
        <w:t xml:space="preserve">he </w:t>
      </w:r>
      <w:r w:rsidR="00C87166" w:rsidRPr="004A4D63">
        <w:rPr>
          <w:color w:val="3D3D3D"/>
          <w:sz w:val="28"/>
          <w:szCs w:val="28"/>
          <w:shd w:val="clear" w:color="auto" w:fill="FFFFFF"/>
        </w:rPr>
        <w:t xml:space="preserve">FCC </w:t>
      </w:r>
      <w:r w:rsidR="00FF72B4" w:rsidRPr="004A4D63">
        <w:rPr>
          <w:color w:val="3D3D3D"/>
          <w:sz w:val="28"/>
          <w:szCs w:val="28"/>
          <w:shd w:val="clear" w:color="auto" w:fill="FFFFFF"/>
        </w:rPr>
        <w:t>does not consider civil penalty determinations as adjudicatory</w:t>
      </w:r>
      <w:r w:rsidR="00B4120B" w:rsidRPr="004A4D63">
        <w:rPr>
          <w:color w:val="3D3D3D"/>
          <w:sz w:val="28"/>
          <w:szCs w:val="28"/>
          <w:shd w:val="clear" w:color="auto" w:fill="FFFFFF"/>
        </w:rPr>
        <w:t xml:space="preserve"> </w:t>
      </w:r>
      <w:r w:rsidR="007D2378" w:rsidRPr="004A4D63">
        <w:rPr>
          <w:color w:val="3D3D3D"/>
          <w:sz w:val="28"/>
          <w:szCs w:val="28"/>
          <w:shd w:val="clear" w:color="auto" w:fill="FFFFFF"/>
        </w:rPr>
        <w:t xml:space="preserve">because </w:t>
      </w:r>
      <w:r w:rsidR="00B4120B" w:rsidRPr="004A4D63">
        <w:rPr>
          <w:color w:val="3D3D3D"/>
          <w:sz w:val="28"/>
          <w:szCs w:val="28"/>
          <w:shd w:val="clear" w:color="auto" w:fill="FFFFFF"/>
        </w:rPr>
        <w:t xml:space="preserve">the agency </w:t>
      </w:r>
      <w:r w:rsidR="00B5306E" w:rsidRPr="004A4D63">
        <w:rPr>
          <w:color w:val="3D3D3D"/>
          <w:sz w:val="28"/>
          <w:szCs w:val="28"/>
          <w:shd w:val="clear" w:color="auto" w:fill="FFFFFF"/>
        </w:rPr>
        <w:t xml:space="preserve">lacks power to </w:t>
      </w:r>
      <w:r w:rsidR="00C87166" w:rsidRPr="004A4D63">
        <w:rPr>
          <w:color w:val="3D3D3D"/>
          <w:sz w:val="28"/>
          <w:szCs w:val="28"/>
          <w:shd w:val="clear" w:color="auto" w:fill="FFFFFF"/>
        </w:rPr>
        <w:t xml:space="preserve">collect </w:t>
      </w:r>
      <w:r w:rsidR="0083193E" w:rsidRPr="004A4D63">
        <w:rPr>
          <w:color w:val="3D3D3D"/>
          <w:sz w:val="28"/>
          <w:szCs w:val="28"/>
          <w:shd w:val="clear" w:color="auto" w:fill="FFFFFF"/>
        </w:rPr>
        <w:t xml:space="preserve">civil </w:t>
      </w:r>
      <w:r w:rsidR="00514837" w:rsidRPr="004A4D63">
        <w:rPr>
          <w:color w:val="3D3D3D"/>
          <w:sz w:val="28"/>
          <w:szCs w:val="28"/>
          <w:shd w:val="clear" w:color="auto" w:fill="FFFFFF"/>
        </w:rPr>
        <w:t>penalties</w:t>
      </w:r>
      <w:r w:rsidR="00B5306E" w:rsidRPr="004A4D63">
        <w:rPr>
          <w:color w:val="3D3D3D"/>
          <w:sz w:val="28"/>
          <w:szCs w:val="28"/>
          <w:shd w:val="clear" w:color="auto" w:fill="FFFFFF"/>
        </w:rPr>
        <w:t>.</w:t>
      </w:r>
      <w:r w:rsidR="00C87166" w:rsidRPr="004A4D63">
        <w:rPr>
          <w:color w:val="3D3D3D"/>
          <w:sz w:val="28"/>
          <w:szCs w:val="28"/>
          <w:shd w:val="clear" w:color="auto" w:fill="FFFFFF"/>
        </w:rPr>
        <w:t xml:space="preserve"> The Department of </w:t>
      </w:r>
      <w:r w:rsidR="00C87166" w:rsidRPr="004A4D63">
        <w:rPr>
          <w:color w:val="3D3D3D"/>
          <w:sz w:val="28"/>
          <w:szCs w:val="28"/>
          <w:shd w:val="clear" w:color="auto" w:fill="FFFFFF"/>
        </w:rPr>
        <w:lastRenderedPageBreak/>
        <w:t xml:space="preserve">Justice must </w:t>
      </w:r>
      <w:r w:rsidR="00464715" w:rsidRPr="004A4D63">
        <w:rPr>
          <w:color w:val="3D3D3D"/>
          <w:sz w:val="28"/>
          <w:szCs w:val="28"/>
          <w:shd w:val="clear" w:color="auto" w:fill="FFFFFF"/>
        </w:rPr>
        <w:t xml:space="preserve">enforce </w:t>
      </w:r>
      <w:r w:rsidR="00C87166" w:rsidRPr="004A4D63">
        <w:rPr>
          <w:color w:val="3D3D3D"/>
          <w:sz w:val="28"/>
          <w:szCs w:val="28"/>
          <w:shd w:val="clear" w:color="auto" w:fill="FFFFFF"/>
        </w:rPr>
        <w:t xml:space="preserve">the </w:t>
      </w:r>
      <w:r w:rsidR="00464715" w:rsidRPr="004A4D63">
        <w:rPr>
          <w:color w:val="3D3D3D"/>
          <w:sz w:val="28"/>
          <w:szCs w:val="28"/>
          <w:shd w:val="clear" w:color="auto" w:fill="FFFFFF"/>
        </w:rPr>
        <w:t xml:space="preserve">penalty </w:t>
      </w:r>
      <w:r w:rsidR="00C87166" w:rsidRPr="004A4D63">
        <w:rPr>
          <w:color w:val="3D3D3D"/>
          <w:sz w:val="28"/>
          <w:szCs w:val="28"/>
          <w:shd w:val="clear" w:color="auto" w:fill="FFFFFF"/>
        </w:rPr>
        <w:t xml:space="preserve">in federal district court which provides a de novo hearing. </w:t>
      </w:r>
      <w:r w:rsidR="00021765" w:rsidRPr="004A4D63">
        <w:rPr>
          <w:color w:val="3D3D3D"/>
          <w:sz w:val="28"/>
          <w:szCs w:val="28"/>
          <w:shd w:val="clear" w:color="auto" w:fill="FFFFFF"/>
        </w:rPr>
        <w:t xml:space="preserve">I was told that it is difficult to get the DOJ interested if the proposed </w:t>
      </w:r>
      <w:r w:rsidR="00121C96" w:rsidRPr="004A4D63">
        <w:rPr>
          <w:color w:val="3D3D3D"/>
          <w:sz w:val="28"/>
          <w:szCs w:val="28"/>
          <w:shd w:val="clear" w:color="auto" w:fill="FFFFFF"/>
        </w:rPr>
        <w:t xml:space="preserve">penalty </w:t>
      </w:r>
      <w:r w:rsidR="00021765" w:rsidRPr="004A4D63">
        <w:rPr>
          <w:color w:val="3D3D3D"/>
          <w:sz w:val="28"/>
          <w:szCs w:val="28"/>
          <w:shd w:val="clear" w:color="auto" w:fill="FFFFFF"/>
        </w:rPr>
        <w:t xml:space="preserve">is less than </w:t>
      </w:r>
      <w:r w:rsidR="0083193E" w:rsidRPr="004A4D63">
        <w:rPr>
          <w:color w:val="3D3D3D"/>
          <w:sz w:val="28"/>
          <w:szCs w:val="28"/>
          <w:shd w:val="clear" w:color="auto" w:fill="FFFFFF"/>
        </w:rPr>
        <w:t>a substantial amount, perhaps $75,000</w:t>
      </w:r>
      <w:r w:rsidR="00464715" w:rsidRPr="004A4D63">
        <w:rPr>
          <w:color w:val="3D3D3D"/>
          <w:sz w:val="28"/>
          <w:szCs w:val="28"/>
          <w:shd w:val="clear" w:color="auto" w:fill="FFFFFF"/>
        </w:rPr>
        <w:t>,</w:t>
      </w:r>
      <w:r w:rsidR="0083193E" w:rsidRPr="004A4D63">
        <w:rPr>
          <w:color w:val="3D3D3D"/>
          <w:sz w:val="28"/>
          <w:szCs w:val="28"/>
          <w:shd w:val="clear" w:color="auto" w:fill="FFFFFF"/>
        </w:rPr>
        <w:t xml:space="preserve"> depending on the district and how busy the U.S. attorneys are.</w:t>
      </w:r>
      <w:r w:rsidR="00464715" w:rsidRPr="004A4D63">
        <w:rPr>
          <w:rStyle w:val="FootnoteReference"/>
          <w:color w:val="3D3D3D"/>
          <w:sz w:val="28"/>
          <w:szCs w:val="28"/>
          <w:shd w:val="clear" w:color="auto" w:fill="FFFFFF"/>
        </w:rPr>
        <w:footnoteReference w:id="42"/>
      </w:r>
      <w:r w:rsidR="00021765" w:rsidRPr="004A4D63">
        <w:rPr>
          <w:color w:val="3D3D3D"/>
          <w:sz w:val="28"/>
          <w:szCs w:val="28"/>
          <w:shd w:val="clear" w:color="auto" w:fill="FFFFFF"/>
        </w:rPr>
        <w:t xml:space="preserve"> </w:t>
      </w:r>
      <w:r w:rsidR="00464715" w:rsidRPr="004A4D63">
        <w:rPr>
          <w:color w:val="3D3D3D"/>
          <w:sz w:val="28"/>
          <w:szCs w:val="28"/>
          <w:shd w:val="clear" w:color="auto" w:fill="FFFFFF"/>
        </w:rPr>
        <w:t xml:space="preserve">Obviously, the FCC’s inability to enforce the </w:t>
      </w:r>
      <w:r w:rsidR="00121C96" w:rsidRPr="004A4D63">
        <w:rPr>
          <w:color w:val="3D3D3D"/>
          <w:sz w:val="28"/>
          <w:szCs w:val="28"/>
          <w:shd w:val="clear" w:color="auto" w:fill="FFFFFF"/>
        </w:rPr>
        <w:t xml:space="preserve">civil penalty </w:t>
      </w:r>
      <w:r w:rsidR="00464715" w:rsidRPr="004A4D63">
        <w:rPr>
          <w:color w:val="3D3D3D"/>
          <w:sz w:val="28"/>
          <w:szCs w:val="28"/>
          <w:shd w:val="clear" w:color="auto" w:fill="FFFFFF"/>
        </w:rPr>
        <w:t>through internal adjudication, rather than through federal court litigation controlled by DOJ, detracts from the effectiveness of civil penalties</w:t>
      </w:r>
      <w:r w:rsidR="008841A0" w:rsidRPr="004A4D63">
        <w:rPr>
          <w:color w:val="3D3D3D"/>
          <w:sz w:val="28"/>
          <w:szCs w:val="28"/>
          <w:shd w:val="clear" w:color="auto" w:fill="FFFFFF"/>
        </w:rPr>
        <w:t xml:space="preserve"> as a regulatory tool</w:t>
      </w:r>
      <w:r w:rsidR="00464715" w:rsidRPr="004A4D63">
        <w:rPr>
          <w:color w:val="3D3D3D"/>
          <w:sz w:val="28"/>
          <w:szCs w:val="28"/>
          <w:shd w:val="clear" w:color="auto" w:fill="FFFFFF"/>
        </w:rPr>
        <w:t xml:space="preserve">.  </w:t>
      </w:r>
      <w:r w:rsidR="00C87166" w:rsidRPr="004A4D63">
        <w:rPr>
          <w:color w:val="3D3D3D"/>
          <w:sz w:val="28"/>
          <w:szCs w:val="28"/>
          <w:shd w:val="clear" w:color="auto" w:fill="FFFFFF"/>
        </w:rPr>
        <w:t xml:space="preserve">The vast majority of </w:t>
      </w:r>
      <w:r w:rsidR="0083193E" w:rsidRPr="004A4D63">
        <w:rPr>
          <w:color w:val="3D3D3D"/>
          <w:sz w:val="28"/>
          <w:szCs w:val="28"/>
          <w:shd w:val="clear" w:color="auto" w:fill="FFFFFF"/>
        </w:rPr>
        <w:t xml:space="preserve">FCC </w:t>
      </w:r>
      <w:r w:rsidR="00C87166" w:rsidRPr="004A4D63">
        <w:rPr>
          <w:color w:val="3D3D3D"/>
          <w:sz w:val="28"/>
          <w:szCs w:val="28"/>
          <w:shd w:val="clear" w:color="auto" w:fill="FFFFFF"/>
        </w:rPr>
        <w:t xml:space="preserve">enforcement cases </w:t>
      </w:r>
      <w:r w:rsidR="00311CB4" w:rsidRPr="004A4D63">
        <w:rPr>
          <w:color w:val="3D3D3D"/>
          <w:sz w:val="28"/>
          <w:szCs w:val="28"/>
          <w:shd w:val="clear" w:color="auto" w:fill="FFFFFF"/>
        </w:rPr>
        <w:t xml:space="preserve">(perhaps 80%) </w:t>
      </w:r>
      <w:r w:rsidR="00C87166" w:rsidRPr="004A4D63">
        <w:rPr>
          <w:color w:val="3D3D3D"/>
          <w:sz w:val="28"/>
          <w:szCs w:val="28"/>
          <w:shd w:val="clear" w:color="auto" w:fill="FFFFFF"/>
        </w:rPr>
        <w:t xml:space="preserve">are settled through consent decrees negotiated by the staff before </w:t>
      </w:r>
      <w:r w:rsidR="00083A61" w:rsidRPr="004A4D63">
        <w:rPr>
          <w:color w:val="3D3D3D"/>
          <w:sz w:val="28"/>
          <w:szCs w:val="28"/>
          <w:shd w:val="clear" w:color="auto" w:fill="FFFFFF"/>
        </w:rPr>
        <w:t xml:space="preserve">or after </w:t>
      </w:r>
      <w:r w:rsidR="00C87166" w:rsidRPr="004A4D63">
        <w:rPr>
          <w:color w:val="3D3D3D"/>
          <w:sz w:val="28"/>
          <w:szCs w:val="28"/>
          <w:shd w:val="clear" w:color="auto" w:fill="FFFFFF"/>
        </w:rPr>
        <w:t>the NAL is issued.</w:t>
      </w:r>
      <w:r w:rsidR="00C87166" w:rsidRPr="004A4D63">
        <w:rPr>
          <w:rStyle w:val="FootnoteReference"/>
          <w:color w:val="3D3D3D"/>
          <w:sz w:val="28"/>
          <w:szCs w:val="28"/>
          <w:shd w:val="clear" w:color="auto" w:fill="FFFFFF"/>
        </w:rPr>
        <w:footnoteReference w:id="43"/>
      </w:r>
      <w:r w:rsidR="00C87166" w:rsidRPr="004A4D63">
        <w:rPr>
          <w:color w:val="3D3D3D"/>
          <w:sz w:val="28"/>
          <w:szCs w:val="28"/>
          <w:shd w:val="clear" w:color="auto" w:fill="FFFFFF"/>
        </w:rPr>
        <w:t xml:space="preserve"> </w:t>
      </w:r>
      <w:r w:rsidR="00A97D03" w:rsidRPr="004A4D63">
        <w:rPr>
          <w:color w:val="3D3D3D"/>
          <w:sz w:val="28"/>
          <w:szCs w:val="28"/>
          <w:shd w:val="clear" w:color="auto" w:fill="FFFFFF"/>
        </w:rPr>
        <w:tab/>
      </w:r>
    </w:p>
    <w:p w14:paraId="6569222F" w14:textId="73D23F62" w:rsidR="00FF72B4" w:rsidRPr="004A4D63" w:rsidRDefault="00083A61" w:rsidP="0065383A">
      <w:pPr>
        <w:spacing w:line="480" w:lineRule="auto"/>
        <w:rPr>
          <w:b/>
          <w:bCs/>
          <w:sz w:val="28"/>
          <w:szCs w:val="28"/>
        </w:rPr>
      </w:pPr>
      <w:r w:rsidRPr="004A4D63">
        <w:rPr>
          <w:b/>
          <w:bCs/>
          <w:sz w:val="28"/>
          <w:szCs w:val="28"/>
        </w:rPr>
        <w:t>D. FEDERAL ENERGY REGULATORY COMMISSION</w:t>
      </w:r>
      <w:r w:rsidR="00B4120B" w:rsidRPr="004A4D63">
        <w:rPr>
          <w:b/>
          <w:bCs/>
          <w:sz w:val="28"/>
          <w:szCs w:val="28"/>
        </w:rPr>
        <w:t xml:space="preserve"> (FERC)</w:t>
      </w:r>
      <w:r w:rsidR="003121EB" w:rsidRPr="004A4D63">
        <w:rPr>
          <w:rStyle w:val="FootnoteReference"/>
          <w:b/>
          <w:bCs/>
          <w:sz w:val="28"/>
          <w:szCs w:val="28"/>
        </w:rPr>
        <w:footnoteReference w:id="44"/>
      </w:r>
      <w:r w:rsidR="003121EB" w:rsidRPr="004A4D63">
        <w:rPr>
          <w:b/>
          <w:bCs/>
          <w:sz w:val="28"/>
          <w:szCs w:val="28"/>
        </w:rPr>
        <w:t xml:space="preserve">  </w:t>
      </w:r>
    </w:p>
    <w:p w14:paraId="0C149EB4" w14:textId="7105DB19" w:rsidR="003121EB" w:rsidRPr="004A4D63" w:rsidRDefault="003121EB" w:rsidP="0065383A">
      <w:pPr>
        <w:spacing w:line="480" w:lineRule="auto"/>
        <w:rPr>
          <w:color w:val="323A45"/>
          <w:sz w:val="28"/>
          <w:szCs w:val="28"/>
        </w:rPr>
      </w:pPr>
      <w:r w:rsidRPr="004A4D63">
        <w:rPr>
          <w:sz w:val="28"/>
          <w:szCs w:val="28"/>
        </w:rPr>
        <w:tab/>
        <w:t xml:space="preserve">FERC has power to levy substantial </w:t>
      </w:r>
      <w:r w:rsidR="00350DA6" w:rsidRPr="004A4D63">
        <w:rPr>
          <w:sz w:val="28"/>
          <w:szCs w:val="28"/>
        </w:rPr>
        <w:t>civil penalt</w:t>
      </w:r>
      <w:r w:rsidR="008021BA" w:rsidRPr="004A4D63">
        <w:rPr>
          <w:sz w:val="28"/>
          <w:szCs w:val="28"/>
        </w:rPr>
        <w:t>ies</w:t>
      </w:r>
      <w:r w:rsidR="00350DA6" w:rsidRPr="004A4D63">
        <w:rPr>
          <w:sz w:val="28"/>
          <w:szCs w:val="28"/>
        </w:rPr>
        <w:t xml:space="preserve"> </w:t>
      </w:r>
      <w:r w:rsidRPr="004A4D63">
        <w:rPr>
          <w:sz w:val="28"/>
          <w:szCs w:val="28"/>
        </w:rPr>
        <w:t>(up to $1</w:t>
      </w:r>
      <w:r w:rsidR="00404752" w:rsidRPr="004A4D63">
        <w:rPr>
          <w:sz w:val="28"/>
          <w:szCs w:val="28"/>
        </w:rPr>
        <w:t>.3</w:t>
      </w:r>
      <w:r w:rsidRPr="004A4D63">
        <w:rPr>
          <w:sz w:val="28"/>
          <w:szCs w:val="28"/>
        </w:rPr>
        <w:t xml:space="preserve"> million per </w:t>
      </w:r>
      <w:r w:rsidR="00404752" w:rsidRPr="004A4D63">
        <w:rPr>
          <w:sz w:val="28"/>
          <w:szCs w:val="28"/>
        </w:rPr>
        <w:t xml:space="preserve">violation per </w:t>
      </w:r>
      <w:r w:rsidRPr="004A4D63">
        <w:rPr>
          <w:sz w:val="28"/>
          <w:szCs w:val="28"/>
        </w:rPr>
        <w:t xml:space="preserve">day) and </w:t>
      </w:r>
      <w:r w:rsidR="008A57F3" w:rsidRPr="004A4D63">
        <w:rPr>
          <w:sz w:val="28"/>
          <w:szCs w:val="28"/>
        </w:rPr>
        <w:t xml:space="preserve">can order </w:t>
      </w:r>
      <w:r w:rsidR="00350DA6" w:rsidRPr="004A4D63">
        <w:rPr>
          <w:sz w:val="28"/>
          <w:szCs w:val="28"/>
        </w:rPr>
        <w:t xml:space="preserve">other </w:t>
      </w:r>
      <w:r w:rsidRPr="004A4D63">
        <w:rPr>
          <w:sz w:val="28"/>
          <w:szCs w:val="28"/>
        </w:rPr>
        <w:t>remedial sanctions</w:t>
      </w:r>
      <w:r w:rsidR="008A57F3" w:rsidRPr="004A4D63">
        <w:rPr>
          <w:sz w:val="28"/>
          <w:szCs w:val="28"/>
        </w:rPr>
        <w:t>.</w:t>
      </w:r>
      <w:r w:rsidRPr="004A4D63">
        <w:rPr>
          <w:sz w:val="28"/>
          <w:szCs w:val="28"/>
        </w:rPr>
        <w:t xml:space="preserve"> Its investigative and prosecutorial arm is the Office of Enforcement</w:t>
      </w:r>
      <w:r w:rsidR="008B4648" w:rsidRPr="004A4D63">
        <w:rPr>
          <w:sz w:val="28"/>
          <w:szCs w:val="28"/>
        </w:rPr>
        <w:t xml:space="preserve"> (OE)</w:t>
      </w:r>
      <w:r w:rsidRPr="004A4D63">
        <w:rPr>
          <w:sz w:val="28"/>
          <w:szCs w:val="28"/>
        </w:rPr>
        <w:t xml:space="preserve">. </w:t>
      </w:r>
      <w:r w:rsidRPr="004A4D63">
        <w:rPr>
          <w:color w:val="323A45"/>
          <w:sz w:val="28"/>
          <w:szCs w:val="28"/>
        </w:rPr>
        <w:t xml:space="preserve">OE dismisses the majority of the cases it investigates </w:t>
      </w:r>
      <w:r w:rsidR="008A57F3" w:rsidRPr="004A4D63">
        <w:rPr>
          <w:color w:val="323A45"/>
          <w:sz w:val="28"/>
          <w:szCs w:val="28"/>
        </w:rPr>
        <w:t xml:space="preserve">as lacking merit </w:t>
      </w:r>
      <w:r w:rsidRPr="004A4D63">
        <w:rPr>
          <w:color w:val="323A45"/>
          <w:sz w:val="28"/>
          <w:szCs w:val="28"/>
        </w:rPr>
        <w:t xml:space="preserve">and often exercises prosecutorial discretion in declining to pursue </w:t>
      </w:r>
      <w:r w:rsidR="008A57F3" w:rsidRPr="004A4D63">
        <w:rPr>
          <w:color w:val="323A45"/>
          <w:sz w:val="28"/>
          <w:szCs w:val="28"/>
        </w:rPr>
        <w:t xml:space="preserve">borderline </w:t>
      </w:r>
      <w:r w:rsidRPr="004A4D63">
        <w:rPr>
          <w:color w:val="323A45"/>
          <w:sz w:val="28"/>
          <w:szCs w:val="28"/>
        </w:rPr>
        <w:t>cases</w:t>
      </w:r>
      <w:r w:rsidR="00020E58" w:rsidRPr="004A4D63">
        <w:rPr>
          <w:color w:val="323A45"/>
          <w:sz w:val="28"/>
          <w:szCs w:val="28"/>
        </w:rPr>
        <w:t>.</w:t>
      </w:r>
      <w:r w:rsidRPr="004A4D63">
        <w:rPr>
          <w:color w:val="323A45"/>
          <w:sz w:val="28"/>
          <w:szCs w:val="28"/>
        </w:rPr>
        <w:t xml:space="preserve"> </w:t>
      </w:r>
      <w:r w:rsidR="00020E58" w:rsidRPr="004A4D63">
        <w:rPr>
          <w:color w:val="323A45"/>
          <w:sz w:val="28"/>
          <w:szCs w:val="28"/>
        </w:rPr>
        <w:t xml:space="preserve">Although law </w:t>
      </w:r>
      <w:r w:rsidR="00D858D9" w:rsidRPr="004A4D63">
        <w:rPr>
          <w:color w:val="323A45"/>
          <w:sz w:val="28"/>
          <w:szCs w:val="28"/>
        </w:rPr>
        <w:t>e</w:t>
      </w:r>
      <w:r w:rsidR="002103A0" w:rsidRPr="004A4D63">
        <w:rPr>
          <w:color w:val="323A45"/>
          <w:sz w:val="28"/>
          <w:szCs w:val="28"/>
        </w:rPr>
        <w:t xml:space="preserve">nforcement is a relatively small part of </w:t>
      </w:r>
      <w:r w:rsidR="00CD1C7B" w:rsidRPr="004A4D63">
        <w:rPr>
          <w:color w:val="323A45"/>
          <w:sz w:val="28"/>
          <w:szCs w:val="28"/>
        </w:rPr>
        <w:t>FERC’s responsibiliti</w:t>
      </w:r>
      <w:r w:rsidR="00020E58" w:rsidRPr="004A4D63">
        <w:rPr>
          <w:color w:val="323A45"/>
          <w:sz w:val="28"/>
          <w:szCs w:val="28"/>
        </w:rPr>
        <w:t>es,</w:t>
      </w:r>
      <w:r w:rsidR="002103A0" w:rsidRPr="004A4D63">
        <w:rPr>
          <w:color w:val="323A45"/>
          <w:sz w:val="28"/>
          <w:szCs w:val="28"/>
        </w:rPr>
        <w:t xml:space="preserve"> </w:t>
      </w:r>
      <w:r w:rsidR="000547D8" w:rsidRPr="004A4D63">
        <w:rPr>
          <w:color w:val="323A45"/>
          <w:sz w:val="28"/>
          <w:szCs w:val="28"/>
        </w:rPr>
        <w:t xml:space="preserve">enforcement cases </w:t>
      </w:r>
      <w:r w:rsidR="00EC0171" w:rsidRPr="004A4D63">
        <w:rPr>
          <w:color w:val="323A45"/>
          <w:sz w:val="28"/>
          <w:szCs w:val="28"/>
        </w:rPr>
        <w:t xml:space="preserve">often </w:t>
      </w:r>
      <w:r w:rsidR="008A57F3" w:rsidRPr="004A4D63">
        <w:rPr>
          <w:color w:val="323A45"/>
          <w:sz w:val="28"/>
          <w:szCs w:val="28"/>
        </w:rPr>
        <w:t xml:space="preserve">require </w:t>
      </w:r>
      <w:r w:rsidR="008A57F3" w:rsidRPr="004A4D63">
        <w:rPr>
          <w:color w:val="323A45"/>
          <w:sz w:val="28"/>
          <w:szCs w:val="28"/>
        </w:rPr>
        <w:lastRenderedPageBreak/>
        <w:t xml:space="preserve">application of </w:t>
      </w:r>
      <w:r w:rsidR="000547D8" w:rsidRPr="004A4D63">
        <w:rPr>
          <w:color w:val="323A45"/>
          <w:sz w:val="28"/>
          <w:szCs w:val="28"/>
        </w:rPr>
        <w:t>unsettled law about manipulation of energy markets</w:t>
      </w:r>
      <w:r w:rsidR="00AB3B95" w:rsidRPr="004A4D63">
        <w:rPr>
          <w:color w:val="323A45"/>
          <w:sz w:val="28"/>
          <w:szCs w:val="28"/>
        </w:rPr>
        <w:t>.</w:t>
      </w:r>
      <w:r w:rsidR="00020E58" w:rsidRPr="004A4D63">
        <w:rPr>
          <w:rStyle w:val="FootnoteReference"/>
          <w:color w:val="323A45"/>
          <w:sz w:val="28"/>
          <w:szCs w:val="28"/>
        </w:rPr>
        <w:footnoteReference w:id="45"/>
      </w:r>
      <w:r w:rsidR="00AB3B95" w:rsidRPr="004A4D63">
        <w:rPr>
          <w:color w:val="323A45"/>
          <w:sz w:val="28"/>
          <w:szCs w:val="28"/>
        </w:rPr>
        <w:t xml:space="preserve"> </w:t>
      </w:r>
      <w:r w:rsidR="00D2032E" w:rsidRPr="004A4D63">
        <w:rPr>
          <w:color w:val="323A45"/>
          <w:sz w:val="28"/>
          <w:szCs w:val="28"/>
        </w:rPr>
        <w:t>Thus,</w:t>
      </w:r>
      <w:r w:rsidR="0046334D" w:rsidRPr="004A4D63">
        <w:rPr>
          <w:color w:val="323A45"/>
          <w:sz w:val="28"/>
          <w:szCs w:val="28"/>
        </w:rPr>
        <w:t xml:space="preserve"> enforcement cases are </w:t>
      </w:r>
      <w:r w:rsidR="00020E58" w:rsidRPr="004A4D63">
        <w:rPr>
          <w:color w:val="323A45"/>
          <w:sz w:val="28"/>
          <w:szCs w:val="28"/>
        </w:rPr>
        <w:t xml:space="preserve">often </w:t>
      </w:r>
      <w:r w:rsidR="0046334D" w:rsidRPr="004A4D63">
        <w:rPr>
          <w:color w:val="323A45"/>
          <w:sz w:val="28"/>
          <w:szCs w:val="28"/>
        </w:rPr>
        <w:t xml:space="preserve">used </w:t>
      </w:r>
      <w:r w:rsidR="00020E58" w:rsidRPr="004A4D63">
        <w:rPr>
          <w:color w:val="323A45"/>
          <w:sz w:val="28"/>
          <w:szCs w:val="28"/>
        </w:rPr>
        <w:t xml:space="preserve">vehicles for making </w:t>
      </w:r>
      <w:r w:rsidR="0046334D" w:rsidRPr="004A4D63">
        <w:rPr>
          <w:color w:val="323A45"/>
          <w:sz w:val="28"/>
          <w:szCs w:val="28"/>
        </w:rPr>
        <w:t>policy</w:t>
      </w:r>
      <w:r w:rsidR="00020E58" w:rsidRPr="004A4D63">
        <w:rPr>
          <w:color w:val="323A45"/>
          <w:sz w:val="28"/>
          <w:szCs w:val="28"/>
        </w:rPr>
        <w:t>.</w:t>
      </w:r>
      <w:r w:rsidR="000547D8" w:rsidRPr="004A4D63">
        <w:rPr>
          <w:rStyle w:val="FootnoteReference"/>
          <w:color w:val="323A45"/>
          <w:sz w:val="28"/>
          <w:szCs w:val="28"/>
        </w:rPr>
        <w:footnoteReference w:id="46"/>
      </w:r>
      <w:r w:rsidR="000547D8" w:rsidRPr="004A4D63">
        <w:rPr>
          <w:color w:val="323A45"/>
          <w:sz w:val="28"/>
          <w:szCs w:val="28"/>
        </w:rPr>
        <w:t xml:space="preserve"> </w:t>
      </w:r>
    </w:p>
    <w:p w14:paraId="5EBE51DB" w14:textId="79F195AB" w:rsidR="00D858D9" w:rsidRPr="004A4D63" w:rsidRDefault="003121EB" w:rsidP="0065383A">
      <w:pPr>
        <w:spacing w:line="480" w:lineRule="auto"/>
        <w:rPr>
          <w:sz w:val="28"/>
          <w:szCs w:val="28"/>
          <w:shd w:val="clear" w:color="auto" w:fill="FFFFFF"/>
        </w:rPr>
      </w:pPr>
      <w:r w:rsidRPr="004A4D63">
        <w:rPr>
          <w:sz w:val="28"/>
          <w:szCs w:val="28"/>
          <w:shd w:val="clear" w:color="auto" w:fill="FFFFFF"/>
        </w:rPr>
        <w:t xml:space="preserve">        During the investigation process, OE </w:t>
      </w:r>
      <w:r w:rsidR="008B4648" w:rsidRPr="004A4D63">
        <w:rPr>
          <w:sz w:val="28"/>
          <w:szCs w:val="28"/>
          <w:shd w:val="clear" w:color="auto" w:fill="FFFFFF"/>
        </w:rPr>
        <w:t xml:space="preserve">staff </w:t>
      </w:r>
      <w:r w:rsidRPr="004A4D63">
        <w:rPr>
          <w:sz w:val="28"/>
          <w:szCs w:val="28"/>
          <w:shd w:val="clear" w:color="auto" w:fill="FFFFFF"/>
        </w:rPr>
        <w:t xml:space="preserve">and counsel for targets are in </w:t>
      </w:r>
      <w:r w:rsidR="00D3441B" w:rsidRPr="004A4D63">
        <w:rPr>
          <w:sz w:val="28"/>
          <w:szCs w:val="28"/>
          <w:shd w:val="clear" w:color="auto" w:fill="FFFFFF"/>
        </w:rPr>
        <w:t xml:space="preserve">regular </w:t>
      </w:r>
      <w:r w:rsidRPr="004A4D63">
        <w:rPr>
          <w:sz w:val="28"/>
          <w:szCs w:val="28"/>
          <w:shd w:val="clear" w:color="auto" w:fill="FFFFFF"/>
        </w:rPr>
        <w:t>con</w:t>
      </w:r>
      <w:r w:rsidR="00B542D5" w:rsidRPr="004A4D63">
        <w:rPr>
          <w:sz w:val="28"/>
          <w:szCs w:val="28"/>
          <w:shd w:val="clear" w:color="auto" w:fill="FFFFFF"/>
        </w:rPr>
        <w:t>tact</w:t>
      </w:r>
      <w:r w:rsidRPr="004A4D63">
        <w:rPr>
          <w:sz w:val="28"/>
          <w:szCs w:val="28"/>
          <w:shd w:val="clear" w:color="auto" w:fill="FFFFFF"/>
        </w:rPr>
        <w:t>.</w:t>
      </w:r>
      <w:r w:rsidR="003C356D" w:rsidRPr="004A4D63">
        <w:rPr>
          <w:rStyle w:val="FootnoteReference"/>
          <w:sz w:val="28"/>
          <w:szCs w:val="28"/>
          <w:shd w:val="clear" w:color="auto" w:fill="FFFFFF"/>
        </w:rPr>
        <w:footnoteReference w:id="47"/>
      </w:r>
      <w:r w:rsidR="00EC0171" w:rsidRPr="004A4D63">
        <w:rPr>
          <w:sz w:val="28"/>
          <w:szCs w:val="28"/>
          <w:shd w:val="clear" w:color="auto" w:fill="FFFFFF"/>
        </w:rPr>
        <w:t xml:space="preserve"> FERC allows t</w:t>
      </w:r>
      <w:r w:rsidR="000B34DC" w:rsidRPr="004A4D63">
        <w:rPr>
          <w:sz w:val="28"/>
          <w:szCs w:val="28"/>
        </w:rPr>
        <w:t xml:space="preserve">argets </w:t>
      </w:r>
      <w:r w:rsidR="00EC0171" w:rsidRPr="004A4D63">
        <w:rPr>
          <w:sz w:val="28"/>
          <w:szCs w:val="28"/>
        </w:rPr>
        <w:t xml:space="preserve">to </w:t>
      </w:r>
      <w:r w:rsidR="000B34DC" w:rsidRPr="004A4D63">
        <w:rPr>
          <w:sz w:val="28"/>
          <w:szCs w:val="28"/>
        </w:rPr>
        <w:t>communicate in writing with Commissioners during th</w:t>
      </w:r>
      <w:r w:rsidR="00EC0171" w:rsidRPr="004A4D63">
        <w:rPr>
          <w:sz w:val="28"/>
          <w:szCs w:val="28"/>
        </w:rPr>
        <w:t xml:space="preserve">e investigative stage </w:t>
      </w:r>
      <w:r w:rsidR="000B34DC" w:rsidRPr="004A4D63">
        <w:rPr>
          <w:sz w:val="28"/>
          <w:szCs w:val="28"/>
        </w:rPr>
        <w:t xml:space="preserve">and </w:t>
      </w:r>
      <w:r w:rsidR="00D3441B" w:rsidRPr="004A4D63">
        <w:rPr>
          <w:sz w:val="28"/>
          <w:szCs w:val="28"/>
        </w:rPr>
        <w:t xml:space="preserve">some targets </w:t>
      </w:r>
      <w:r w:rsidR="000B34DC" w:rsidRPr="004A4D63">
        <w:rPr>
          <w:sz w:val="28"/>
          <w:szCs w:val="28"/>
        </w:rPr>
        <w:t>take advantage of this op</w:t>
      </w:r>
      <w:r w:rsidR="00125D5E" w:rsidRPr="004A4D63">
        <w:rPr>
          <w:sz w:val="28"/>
          <w:szCs w:val="28"/>
        </w:rPr>
        <w:t>portunity</w:t>
      </w:r>
      <w:r w:rsidR="000B34DC" w:rsidRPr="004A4D63">
        <w:rPr>
          <w:sz w:val="28"/>
          <w:szCs w:val="28"/>
        </w:rPr>
        <w:t>.</w:t>
      </w:r>
      <w:r w:rsidRPr="004A4D63">
        <w:rPr>
          <w:rStyle w:val="FootnoteReference"/>
          <w:sz w:val="28"/>
          <w:szCs w:val="28"/>
          <w:shd w:val="clear" w:color="auto" w:fill="FFFFFF"/>
        </w:rPr>
        <w:footnoteReference w:id="48"/>
      </w:r>
      <w:r w:rsidR="000B34DC" w:rsidRPr="004A4D63">
        <w:rPr>
          <w:sz w:val="28"/>
          <w:szCs w:val="28"/>
          <w:shd w:val="clear" w:color="auto" w:fill="FFFFFF"/>
        </w:rPr>
        <w:t xml:space="preserve"> </w:t>
      </w:r>
      <w:r w:rsidR="00EC0171" w:rsidRPr="004A4D63">
        <w:rPr>
          <w:sz w:val="28"/>
          <w:szCs w:val="28"/>
          <w:shd w:val="clear" w:color="auto" w:fill="FFFFFF"/>
        </w:rPr>
        <w:t xml:space="preserve">If the staff seeks formal investigative authority to issue a subpoena </w:t>
      </w:r>
      <w:r w:rsidR="00D3441B" w:rsidRPr="004A4D63">
        <w:rPr>
          <w:sz w:val="28"/>
          <w:szCs w:val="28"/>
          <w:shd w:val="clear" w:color="auto" w:fill="FFFFFF"/>
        </w:rPr>
        <w:t xml:space="preserve">for documents </w:t>
      </w:r>
      <w:r w:rsidR="00EC0171" w:rsidRPr="004A4D63">
        <w:rPr>
          <w:sz w:val="28"/>
          <w:szCs w:val="28"/>
          <w:shd w:val="clear" w:color="auto" w:fill="FFFFFF"/>
        </w:rPr>
        <w:t xml:space="preserve">or take a deposition, it </w:t>
      </w:r>
      <w:r w:rsidR="008021BA" w:rsidRPr="004A4D63">
        <w:rPr>
          <w:sz w:val="28"/>
          <w:szCs w:val="28"/>
          <w:shd w:val="clear" w:color="auto" w:fill="FFFFFF"/>
        </w:rPr>
        <w:t xml:space="preserve">must receive </w:t>
      </w:r>
      <w:r w:rsidR="00EC0171" w:rsidRPr="004A4D63">
        <w:rPr>
          <w:sz w:val="28"/>
          <w:szCs w:val="28"/>
          <w:shd w:val="clear" w:color="auto" w:fill="FFFFFF"/>
        </w:rPr>
        <w:t>authority from the Commission</w:t>
      </w:r>
      <w:r w:rsidR="008021BA" w:rsidRPr="004A4D63">
        <w:rPr>
          <w:sz w:val="28"/>
          <w:szCs w:val="28"/>
          <w:shd w:val="clear" w:color="auto" w:fill="FFFFFF"/>
        </w:rPr>
        <w:t>,</w:t>
      </w:r>
      <w:r w:rsidR="00EC0171" w:rsidRPr="004A4D63">
        <w:rPr>
          <w:sz w:val="28"/>
          <w:szCs w:val="28"/>
          <w:shd w:val="clear" w:color="auto" w:fill="FFFFFF"/>
        </w:rPr>
        <w:t xml:space="preserve"> but this is rarely necessary</w:t>
      </w:r>
      <w:r w:rsidR="00D3441B" w:rsidRPr="004A4D63">
        <w:rPr>
          <w:sz w:val="28"/>
          <w:szCs w:val="28"/>
          <w:shd w:val="clear" w:color="auto" w:fill="FFFFFF"/>
        </w:rPr>
        <w:t xml:space="preserve"> as targets typically agree to informal investigative discovery.</w:t>
      </w:r>
      <w:r w:rsidR="005573ED" w:rsidRPr="004A4D63">
        <w:rPr>
          <w:rStyle w:val="FootnoteReference"/>
          <w:sz w:val="28"/>
          <w:szCs w:val="28"/>
          <w:shd w:val="clear" w:color="auto" w:fill="FFFFFF"/>
        </w:rPr>
        <w:footnoteReference w:id="49"/>
      </w:r>
      <w:r w:rsidR="000B34DC" w:rsidRPr="004A4D63">
        <w:rPr>
          <w:sz w:val="28"/>
          <w:szCs w:val="28"/>
          <w:shd w:val="clear" w:color="auto" w:fill="FFFFFF"/>
        </w:rPr>
        <w:t xml:space="preserve"> </w:t>
      </w:r>
    </w:p>
    <w:p w14:paraId="73575BEC" w14:textId="52B260DA" w:rsidR="003121EB" w:rsidRPr="004A4D63" w:rsidRDefault="00D858D9" w:rsidP="0065383A">
      <w:pPr>
        <w:spacing w:line="480" w:lineRule="auto"/>
        <w:rPr>
          <w:sz w:val="28"/>
          <w:szCs w:val="28"/>
          <w:shd w:val="clear" w:color="auto" w:fill="FFFFFF"/>
        </w:rPr>
      </w:pPr>
      <w:r w:rsidRPr="004A4D63">
        <w:rPr>
          <w:sz w:val="28"/>
          <w:szCs w:val="28"/>
          <w:shd w:val="clear" w:color="auto" w:fill="FFFFFF"/>
        </w:rPr>
        <w:tab/>
      </w:r>
      <w:r w:rsidR="003121EB" w:rsidRPr="004A4D63">
        <w:rPr>
          <w:sz w:val="28"/>
          <w:szCs w:val="28"/>
          <w:shd w:val="clear" w:color="auto" w:fill="FFFFFF"/>
        </w:rPr>
        <w:t xml:space="preserve">If OE determines that a violation occurred that warrants  imposition of sanctions, it provides the target with a “preliminary findings letter” that furnishes a detailed description of the staff’s findings </w:t>
      </w:r>
      <w:r w:rsidR="00020E58" w:rsidRPr="004A4D63">
        <w:rPr>
          <w:sz w:val="28"/>
          <w:szCs w:val="28"/>
          <w:shd w:val="clear" w:color="auto" w:fill="FFFFFF"/>
        </w:rPr>
        <w:t xml:space="preserve">of </w:t>
      </w:r>
      <w:r w:rsidR="003121EB" w:rsidRPr="004A4D63">
        <w:rPr>
          <w:sz w:val="28"/>
          <w:szCs w:val="28"/>
          <w:shd w:val="clear" w:color="auto" w:fill="FFFFFF"/>
        </w:rPr>
        <w:t xml:space="preserve">fact and </w:t>
      </w:r>
      <w:r w:rsidR="00020E58" w:rsidRPr="004A4D63">
        <w:rPr>
          <w:sz w:val="28"/>
          <w:szCs w:val="28"/>
          <w:shd w:val="clear" w:color="auto" w:fill="FFFFFF"/>
        </w:rPr>
        <w:t xml:space="preserve">its </w:t>
      </w:r>
      <w:r w:rsidR="003121EB" w:rsidRPr="004A4D63">
        <w:rPr>
          <w:sz w:val="28"/>
          <w:szCs w:val="28"/>
          <w:shd w:val="clear" w:color="auto" w:fill="FFFFFF"/>
        </w:rPr>
        <w:t>legal theories.</w:t>
      </w:r>
      <w:r w:rsidR="0094366A" w:rsidRPr="004A4D63">
        <w:rPr>
          <w:sz w:val="28"/>
          <w:szCs w:val="28"/>
          <w:shd w:val="clear" w:color="auto" w:fill="FFFFFF"/>
        </w:rPr>
        <w:t xml:space="preserve"> The letter may be in the form of a slide deck.</w:t>
      </w:r>
      <w:r w:rsidR="0094366A" w:rsidRPr="004A4D63">
        <w:rPr>
          <w:rStyle w:val="FootnoteReference"/>
          <w:sz w:val="28"/>
          <w:szCs w:val="28"/>
          <w:shd w:val="clear" w:color="auto" w:fill="FFFFFF"/>
        </w:rPr>
        <w:footnoteReference w:id="50"/>
      </w:r>
      <w:r w:rsidR="0094366A" w:rsidRPr="004A4D63">
        <w:rPr>
          <w:sz w:val="28"/>
          <w:szCs w:val="28"/>
          <w:shd w:val="clear" w:color="auto" w:fill="FFFFFF"/>
        </w:rPr>
        <w:t xml:space="preserve"> </w:t>
      </w:r>
      <w:r w:rsidR="003121EB" w:rsidRPr="004A4D63">
        <w:rPr>
          <w:sz w:val="28"/>
          <w:szCs w:val="28"/>
          <w:shd w:val="clear" w:color="auto" w:fill="FFFFFF"/>
        </w:rPr>
        <w:t xml:space="preserve">The target has an opportunity to </w:t>
      </w:r>
      <w:r w:rsidR="00D3441B" w:rsidRPr="004A4D63">
        <w:rPr>
          <w:sz w:val="28"/>
          <w:szCs w:val="28"/>
          <w:shd w:val="clear" w:color="auto" w:fill="FFFFFF"/>
        </w:rPr>
        <w:t xml:space="preserve">submit </w:t>
      </w:r>
      <w:r w:rsidR="002103A0" w:rsidRPr="004A4D63">
        <w:rPr>
          <w:sz w:val="28"/>
          <w:szCs w:val="28"/>
          <w:shd w:val="clear" w:color="auto" w:fill="FFFFFF"/>
        </w:rPr>
        <w:t xml:space="preserve">a brief that </w:t>
      </w:r>
      <w:r w:rsidR="003121EB" w:rsidRPr="004A4D63">
        <w:rPr>
          <w:sz w:val="28"/>
          <w:szCs w:val="28"/>
          <w:shd w:val="clear" w:color="auto" w:fill="FFFFFF"/>
        </w:rPr>
        <w:t>respond</w:t>
      </w:r>
      <w:r w:rsidR="002103A0" w:rsidRPr="004A4D63">
        <w:rPr>
          <w:sz w:val="28"/>
          <w:szCs w:val="28"/>
          <w:shd w:val="clear" w:color="auto" w:fill="FFFFFF"/>
        </w:rPr>
        <w:t>s</w:t>
      </w:r>
      <w:r w:rsidR="003121EB" w:rsidRPr="004A4D63">
        <w:rPr>
          <w:sz w:val="28"/>
          <w:szCs w:val="28"/>
          <w:shd w:val="clear" w:color="auto" w:fill="FFFFFF"/>
        </w:rPr>
        <w:t xml:space="preserve"> to </w:t>
      </w:r>
      <w:r w:rsidR="002103A0" w:rsidRPr="004A4D63">
        <w:rPr>
          <w:sz w:val="28"/>
          <w:szCs w:val="28"/>
          <w:shd w:val="clear" w:color="auto" w:fill="FFFFFF"/>
        </w:rPr>
        <w:t xml:space="preserve">the </w:t>
      </w:r>
      <w:r w:rsidR="003121EB" w:rsidRPr="004A4D63">
        <w:rPr>
          <w:sz w:val="28"/>
          <w:szCs w:val="28"/>
          <w:shd w:val="clear" w:color="auto" w:fill="FFFFFF"/>
        </w:rPr>
        <w:t>staff’s preliminary findings</w:t>
      </w:r>
      <w:r w:rsidR="00EC0171" w:rsidRPr="004A4D63">
        <w:rPr>
          <w:sz w:val="28"/>
          <w:szCs w:val="28"/>
          <w:shd w:val="clear" w:color="auto" w:fill="FFFFFF"/>
        </w:rPr>
        <w:t>.</w:t>
      </w:r>
      <w:r w:rsidR="003121EB" w:rsidRPr="004A4D63">
        <w:rPr>
          <w:rStyle w:val="FootnoteReference"/>
          <w:sz w:val="28"/>
          <w:szCs w:val="28"/>
          <w:shd w:val="clear" w:color="auto" w:fill="FFFFFF"/>
        </w:rPr>
        <w:footnoteReference w:id="51"/>
      </w:r>
      <w:r w:rsidR="003121EB" w:rsidRPr="004A4D63">
        <w:rPr>
          <w:sz w:val="28"/>
          <w:szCs w:val="28"/>
          <w:shd w:val="clear" w:color="auto" w:fill="FFFFFF"/>
        </w:rPr>
        <w:t xml:space="preserve"> </w:t>
      </w:r>
      <w:r w:rsidR="00EC0171" w:rsidRPr="004A4D63">
        <w:rPr>
          <w:sz w:val="28"/>
          <w:szCs w:val="28"/>
          <w:shd w:val="clear" w:color="auto" w:fill="FFFFFF"/>
        </w:rPr>
        <w:t xml:space="preserve">Attorneys who represent targets </w:t>
      </w:r>
      <w:r w:rsidR="00EC0171" w:rsidRPr="004A4D63">
        <w:rPr>
          <w:sz w:val="28"/>
          <w:szCs w:val="28"/>
          <w:shd w:val="clear" w:color="auto" w:fill="FFFFFF"/>
        </w:rPr>
        <w:lastRenderedPageBreak/>
        <w:t>subject to enforcement issues believe that the preliminary statement and the opportunity to respond are quite useful</w:t>
      </w:r>
      <w:r w:rsidR="004877A3" w:rsidRPr="004A4D63">
        <w:rPr>
          <w:sz w:val="28"/>
          <w:szCs w:val="28"/>
          <w:shd w:val="clear" w:color="auto" w:fill="FFFFFF"/>
        </w:rPr>
        <w:t xml:space="preserve"> to their clients</w:t>
      </w:r>
      <w:r w:rsidR="00EC0171" w:rsidRPr="004A4D63">
        <w:rPr>
          <w:sz w:val="28"/>
          <w:szCs w:val="28"/>
          <w:shd w:val="clear" w:color="auto" w:fill="FFFFFF"/>
        </w:rPr>
        <w:t>.</w:t>
      </w:r>
      <w:r w:rsidR="00EC0171" w:rsidRPr="004A4D63">
        <w:rPr>
          <w:rStyle w:val="FootnoteReference"/>
          <w:sz w:val="28"/>
          <w:szCs w:val="28"/>
          <w:shd w:val="clear" w:color="auto" w:fill="FFFFFF"/>
        </w:rPr>
        <w:footnoteReference w:id="52"/>
      </w:r>
    </w:p>
    <w:p w14:paraId="1884B0E8" w14:textId="2C8ADED1" w:rsidR="003121EB" w:rsidRPr="004A4D63" w:rsidRDefault="003121EB" w:rsidP="0065383A">
      <w:pPr>
        <w:spacing w:line="480" w:lineRule="auto"/>
        <w:rPr>
          <w:sz w:val="28"/>
          <w:szCs w:val="28"/>
          <w:shd w:val="clear" w:color="auto" w:fill="FFFFFF"/>
        </w:rPr>
      </w:pPr>
      <w:r w:rsidRPr="004A4D63">
        <w:rPr>
          <w:sz w:val="28"/>
          <w:szCs w:val="28"/>
          <w:shd w:val="clear" w:color="auto" w:fill="FFFFFF"/>
        </w:rPr>
        <w:tab/>
        <w:t>If OE continues to believe a sanction is warranted, it seeks approval for settlement authority</w:t>
      </w:r>
      <w:r w:rsidR="00020E58" w:rsidRPr="004A4D63">
        <w:rPr>
          <w:sz w:val="28"/>
          <w:szCs w:val="28"/>
          <w:shd w:val="clear" w:color="auto" w:fill="FFFFFF"/>
        </w:rPr>
        <w:t xml:space="preserve"> from the agency heads</w:t>
      </w:r>
      <w:r w:rsidRPr="004A4D63">
        <w:rPr>
          <w:sz w:val="28"/>
          <w:szCs w:val="28"/>
          <w:shd w:val="clear" w:color="auto" w:fill="FFFFFF"/>
        </w:rPr>
        <w:t xml:space="preserve">. </w:t>
      </w:r>
      <w:r w:rsidR="0094366A" w:rsidRPr="004A4D63">
        <w:rPr>
          <w:sz w:val="28"/>
          <w:szCs w:val="28"/>
          <w:shd w:val="clear" w:color="auto" w:fill="FFFFFF"/>
        </w:rPr>
        <w:t xml:space="preserve">This practice seems unique to FERC. </w:t>
      </w:r>
      <w:r w:rsidRPr="004A4D63">
        <w:rPr>
          <w:sz w:val="28"/>
          <w:szCs w:val="28"/>
          <w:shd w:val="clear" w:color="auto" w:fill="FFFFFF"/>
        </w:rPr>
        <w:t xml:space="preserve">The submission includes the target’s </w:t>
      </w:r>
      <w:r w:rsidR="00EC0171" w:rsidRPr="004A4D63">
        <w:rPr>
          <w:sz w:val="28"/>
          <w:szCs w:val="28"/>
          <w:shd w:val="clear" w:color="auto" w:fill="FFFFFF"/>
        </w:rPr>
        <w:t xml:space="preserve">response </w:t>
      </w:r>
      <w:r w:rsidR="00B542D5" w:rsidRPr="004A4D63">
        <w:rPr>
          <w:sz w:val="28"/>
          <w:szCs w:val="28"/>
          <w:shd w:val="clear" w:color="auto" w:fill="FFFFFF"/>
        </w:rPr>
        <w:t>to the preliminary findings letter</w:t>
      </w:r>
      <w:r w:rsidRPr="004A4D63">
        <w:rPr>
          <w:sz w:val="28"/>
          <w:szCs w:val="28"/>
          <w:shd w:val="clear" w:color="auto" w:fill="FFFFFF"/>
        </w:rPr>
        <w:t>.</w:t>
      </w:r>
      <w:r w:rsidRPr="004A4D63">
        <w:rPr>
          <w:rStyle w:val="FootnoteReference"/>
          <w:sz w:val="28"/>
          <w:szCs w:val="28"/>
          <w:shd w:val="clear" w:color="auto" w:fill="FFFFFF"/>
        </w:rPr>
        <w:footnoteReference w:id="53"/>
      </w:r>
      <w:r w:rsidRPr="004A4D63">
        <w:rPr>
          <w:sz w:val="28"/>
          <w:szCs w:val="28"/>
          <w:shd w:val="clear" w:color="auto" w:fill="FFFFFF"/>
        </w:rPr>
        <w:t xml:space="preserve"> </w:t>
      </w:r>
      <w:r w:rsidR="00020E58" w:rsidRPr="004A4D63">
        <w:rPr>
          <w:sz w:val="28"/>
          <w:szCs w:val="28"/>
          <w:shd w:val="clear" w:color="auto" w:fill="FFFFFF"/>
        </w:rPr>
        <w:t>If the Commission approves, s</w:t>
      </w:r>
      <w:r w:rsidR="000B34DC" w:rsidRPr="004A4D63">
        <w:rPr>
          <w:sz w:val="28"/>
          <w:szCs w:val="28"/>
          <w:shd w:val="clear" w:color="auto" w:fill="FFFFFF"/>
        </w:rPr>
        <w:t xml:space="preserve">taff </w:t>
      </w:r>
      <w:r w:rsidRPr="004A4D63">
        <w:rPr>
          <w:sz w:val="28"/>
          <w:szCs w:val="28"/>
          <w:shd w:val="clear" w:color="auto" w:fill="FFFFFF"/>
        </w:rPr>
        <w:t>then pursues settlement negotiations</w:t>
      </w:r>
      <w:r w:rsidR="008021BA" w:rsidRPr="004A4D63">
        <w:rPr>
          <w:sz w:val="28"/>
          <w:szCs w:val="28"/>
          <w:shd w:val="clear" w:color="auto" w:fill="FFFFFF"/>
        </w:rPr>
        <w:t xml:space="preserve"> within the parameters set by the Commission</w:t>
      </w:r>
      <w:r w:rsidRPr="004A4D63">
        <w:rPr>
          <w:sz w:val="28"/>
          <w:szCs w:val="28"/>
          <w:shd w:val="clear" w:color="auto" w:fill="FFFFFF"/>
        </w:rPr>
        <w:t xml:space="preserve">. If a settlement is reached, OE seeks agency head approval of the settlement. </w:t>
      </w:r>
      <w:r w:rsidR="00D858D9" w:rsidRPr="004A4D63">
        <w:rPr>
          <w:sz w:val="28"/>
          <w:szCs w:val="28"/>
          <w:shd w:val="clear" w:color="auto" w:fill="FFFFFF"/>
        </w:rPr>
        <w:t>A</w:t>
      </w:r>
      <w:r w:rsidR="003C356D" w:rsidRPr="004A4D63">
        <w:rPr>
          <w:sz w:val="28"/>
          <w:szCs w:val="28"/>
          <w:shd w:val="clear" w:color="auto" w:fill="FFFFFF"/>
        </w:rPr>
        <w:t xml:space="preserve">t least </w:t>
      </w:r>
      <w:r w:rsidR="00D858D9" w:rsidRPr="004A4D63">
        <w:rPr>
          <w:sz w:val="28"/>
          <w:szCs w:val="28"/>
          <w:shd w:val="clear" w:color="auto" w:fill="FFFFFF"/>
        </w:rPr>
        <w:t>90% of cases settle</w:t>
      </w:r>
      <w:r w:rsidR="008021BA" w:rsidRPr="004A4D63">
        <w:rPr>
          <w:sz w:val="28"/>
          <w:szCs w:val="28"/>
          <w:shd w:val="clear" w:color="auto" w:fill="FFFFFF"/>
        </w:rPr>
        <w:t xml:space="preserve"> at some point in the process</w:t>
      </w:r>
      <w:r w:rsidR="00D858D9" w:rsidRPr="004A4D63">
        <w:rPr>
          <w:sz w:val="28"/>
          <w:szCs w:val="28"/>
          <w:shd w:val="clear" w:color="auto" w:fill="FFFFFF"/>
        </w:rPr>
        <w:t>.</w:t>
      </w:r>
      <w:r w:rsidR="00D858D9" w:rsidRPr="004A4D63">
        <w:rPr>
          <w:rStyle w:val="FootnoteReference"/>
          <w:sz w:val="28"/>
          <w:szCs w:val="28"/>
          <w:shd w:val="clear" w:color="auto" w:fill="FFFFFF"/>
        </w:rPr>
        <w:footnoteReference w:id="54"/>
      </w:r>
      <w:r w:rsidR="00D858D9" w:rsidRPr="004A4D63">
        <w:rPr>
          <w:sz w:val="28"/>
          <w:szCs w:val="28"/>
          <w:shd w:val="clear" w:color="auto" w:fill="FFFFFF"/>
        </w:rPr>
        <w:t xml:space="preserve"> </w:t>
      </w:r>
      <w:r w:rsidR="00F30C08" w:rsidRPr="004A4D63">
        <w:rPr>
          <w:sz w:val="28"/>
          <w:szCs w:val="28"/>
          <w:shd w:val="clear" w:color="auto" w:fill="FFFFFF"/>
        </w:rPr>
        <w:t>I</w:t>
      </w:r>
      <w:r w:rsidR="005573ED" w:rsidRPr="004A4D63">
        <w:rPr>
          <w:sz w:val="28"/>
          <w:szCs w:val="28"/>
          <w:shd w:val="clear" w:color="auto" w:fill="FFFFFF"/>
        </w:rPr>
        <w:t>nterviewe</w:t>
      </w:r>
      <w:r w:rsidR="00F30C08" w:rsidRPr="004A4D63">
        <w:rPr>
          <w:sz w:val="28"/>
          <w:szCs w:val="28"/>
          <w:shd w:val="clear" w:color="auto" w:fill="FFFFFF"/>
        </w:rPr>
        <w:t>es</w:t>
      </w:r>
      <w:r w:rsidR="005573ED" w:rsidRPr="004A4D63">
        <w:rPr>
          <w:sz w:val="28"/>
          <w:szCs w:val="28"/>
          <w:shd w:val="clear" w:color="auto" w:fill="FFFFFF"/>
        </w:rPr>
        <w:t xml:space="preserve"> had conflicting opinions about whether </w:t>
      </w:r>
      <w:r w:rsidR="00125D5E" w:rsidRPr="004A4D63">
        <w:rPr>
          <w:sz w:val="28"/>
          <w:szCs w:val="28"/>
          <w:shd w:val="clear" w:color="auto" w:fill="FFFFFF"/>
        </w:rPr>
        <w:t xml:space="preserve">the process of granting </w:t>
      </w:r>
      <w:r w:rsidR="00F30C08" w:rsidRPr="004A4D63">
        <w:rPr>
          <w:sz w:val="28"/>
          <w:szCs w:val="28"/>
          <w:shd w:val="clear" w:color="auto" w:fill="FFFFFF"/>
        </w:rPr>
        <w:t xml:space="preserve">settlement authority </w:t>
      </w:r>
      <w:r w:rsidR="00125D5E" w:rsidRPr="004A4D63">
        <w:rPr>
          <w:sz w:val="28"/>
          <w:szCs w:val="28"/>
          <w:shd w:val="clear" w:color="auto" w:fill="FFFFFF"/>
        </w:rPr>
        <w:t xml:space="preserve">to the staff </w:t>
      </w:r>
      <w:r w:rsidR="005573ED" w:rsidRPr="004A4D63">
        <w:rPr>
          <w:sz w:val="28"/>
          <w:szCs w:val="28"/>
          <w:shd w:val="clear" w:color="auto" w:fill="FFFFFF"/>
        </w:rPr>
        <w:t>was worth its costs and delays.</w:t>
      </w:r>
      <w:r w:rsidR="005573ED" w:rsidRPr="004A4D63">
        <w:rPr>
          <w:rStyle w:val="FootnoteReference"/>
          <w:sz w:val="28"/>
          <w:szCs w:val="28"/>
          <w:shd w:val="clear" w:color="auto" w:fill="FFFFFF"/>
        </w:rPr>
        <w:footnoteReference w:id="55"/>
      </w:r>
    </w:p>
    <w:p w14:paraId="112FA11D" w14:textId="65ED1F21" w:rsidR="003121EB" w:rsidRPr="004A4D63" w:rsidRDefault="003121EB" w:rsidP="0065383A">
      <w:pPr>
        <w:spacing w:line="480" w:lineRule="auto"/>
        <w:rPr>
          <w:sz w:val="28"/>
          <w:szCs w:val="28"/>
          <w:shd w:val="clear" w:color="auto" w:fill="FFFFFF"/>
        </w:rPr>
      </w:pPr>
      <w:r w:rsidRPr="004A4D63">
        <w:rPr>
          <w:sz w:val="28"/>
          <w:szCs w:val="28"/>
        </w:rPr>
        <w:tab/>
        <w:t>I</w:t>
      </w:r>
      <w:r w:rsidRPr="004A4D63">
        <w:rPr>
          <w:sz w:val="28"/>
          <w:szCs w:val="28"/>
          <w:shd w:val="clear" w:color="auto" w:fill="FFFFFF"/>
        </w:rPr>
        <w:t>f the parties fail to negotiate a settlement and OE</w:t>
      </w:r>
      <w:r w:rsidR="00D3441B" w:rsidRPr="004A4D63">
        <w:rPr>
          <w:sz w:val="28"/>
          <w:szCs w:val="28"/>
          <w:shd w:val="clear" w:color="auto" w:fill="FFFFFF"/>
        </w:rPr>
        <w:t xml:space="preserve"> wishes to proceed with an enforcement action, OE </w:t>
      </w:r>
      <w:r w:rsidRPr="004A4D63">
        <w:rPr>
          <w:sz w:val="28"/>
          <w:szCs w:val="28"/>
          <w:shd w:val="clear" w:color="auto" w:fill="FFFFFF"/>
        </w:rPr>
        <w:t>provide</w:t>
      </w:r>
      <w:r w:rsidR="008021BA" w:rsidRPr="004A4D63">
        <w:rPr>
          <w:sz w:val="28"/>
          <w:szCs w:val="28"/>
          <w:shd w:val="clear" w:color="auto" w:fill="FFFFFF"/>
        </w:rPr>
        <w:t>s</w:t>
      </w:r>
      <w:r w:rsidRPr="004A4D63">
        <w:rPr>
          <w:sz w:val="28"/>
          <w:szCs w:val="28"/>
          <w:shd w:val="clear" w:color="auto" w:fill="FFFFFF"/>
        </w:rPr>
        <w:t xml:space="preserve"> the subject with notice </w:t>
      </w:r>
      <w:r w:rsidR="001F103E" w:rsidRPr="004A4D63">
        <w:rPr>
          <w:sz w:val="28"/>
          <w:szCs w:val="28"/>
          <w:shd w:val="clear" w:color="auto" w:fill="FFFFFF"/>
        </w:rPr>
        <w:t xml:space="preserve">(referred to as a Rule 1b.19 statement) </w:t>
      </w:r>
      <w:r w:rsidRPr="004A4D63">
        <w:rPr>
          <w:sz w:val="28"/>
          <w:szCs w:val="28"/>
          <w:shd w:val="clear" w:color="auto" w:fill="FFFFFF"/>
        </w:rPr>
        <w:t>and a further opportunity to respond within 30 days.</w:t>
      </w:r>
      <w:r w:rsidRPr="004A4D63">
        <w:rPr>
          <w:rStyle w:val="FootnoteReference"/>
          <w:sz w:val="28"/>
          <w:szCs w:val="28"/>
          <w:shd w:val="clear" w:color="auto" w:fill="FFFFFF"/>
        </w:rPr>
        <w:footnoteReference w:id="56"/>
      </w:r>
      <w:r w:rsidRPr="004A4D63">
        <w:rPr>
          <w:sz w:val="28"/>
          <w:szCs w:val="28"/>
          <w:shd w:val="clear" w:color="auto" w:fill="FFFFFF"/>
        </w:rPr>
        <w:t xml:space="preserve"> The Rule 1b.19 procedure was modeled after the SEC’s Wells notice</w:t>
      </w:r>
      <w:r w:rsidR="0046334D" w:rsidRPr="004A4D63">
        <w:rPr>
          <w:sz w:val="28"/>
          <w:szCs w:val="28"/>
          <w:shd w:val="clear" w:color="auto" w:fill="FFFFFF"/>
        </w:rPr>
        <w:t>.</w:t>
      </w:r>
      <w:r w:rsidRPr="004A4D63">
        <w:rPr>
          <w:rStyle w:val="FootnoteReference"/>
          <w:sz w:val="28"/>
          <w:szCs w:val="28"/>
          <w:shd w:val="clear" w:color="auto" w:fill="FFFFFF"/>
        </w:rPr>
        <w:footnoteReference w:id="57"/>
      </w:r>
      <w:r w:rsidRPr="004A4D63">
        <w:rPr>
          <w:sz w:val="28"/>
          <w:szCs w:val="28"/>
          <w:shd w:val="clear" w:color="auto" w:fill="FFFFFF"/>
        </w:rPr>
        <w:t xml:space="preserve"> </w:t>
      </w:r>
      <w:r w:rsidR="0094366A" w:rsidRPr="004A4D63">
        <w:rPr>
          <w:sz w:val="28"/>
          <w:szCs w:val="28"/>
          <w:shd w:val="clear" w:color="auto" w:fill="FFFFFF"/>
        </w:rPr>
        <w:t xml:space="preserve">Rule 1b.19 </w:t>
      </w:r>
      <w:r w:rsidR="0094366A" w:rsidRPr="004A4D63">
        <w:rPr>
          <w:sz w:val="28"/>
          <w:szCs w:val="28"/>
          <w:shd w:val="clear" w:color="auto" w:fill="FFFFFF"/>
        </w:rPr>
        <w:lastRenderedPageBreak/>
        <w:t xml:space="preserve">statements tend to be briefer than the earlier preliminary findings letter. </w:t>
      </w:r>
      <w:r w:rsidRPr="004A4D63">
        <w:rPr>
          <w:sz w:val="28"/>
          <w:szCs w:val="28"/>
          <w:shd w:val="clear" w:color="auto" w:fill="FFFFFF"/>
        </w:rPr>
        <w:t xml:space="preserve">The target has the right to respond to the 1b.19 notice, but the staff is not required to </w:t>
      </w:r>
      <w:r w:rsidR="00F30C08" w:rsidRPr="004A4D63">
        <w:rPr>
          <w:sz w:val="28"/>
          <w:szCs w:val="28"/>
          <w:shd w:val="clear" w:color="auto" w:fill="FFFFFF"/>
        </w:rPr>
        <w:t xml:space="preserve">answer </w:t>
      </w:r>
      <w:r w:rsidRPr="004A4D63">
        <w:rPr>
          <w:sz w:val="28"/>
          <w:szCs w:val="28"/>
          <w:shd w:val="clear" w:color="auto" w:fill="FFFFFF"/>
        </w:rPr>
        <w:t>the target’s response.</w:t>
      </w:r>
      <w:r w:rsidRPr="004A4D63">
        <w:rPr>
          <w:rStyle w:val="FootnoteReference"/>
          <w:sz w:val="28"/>
          <w:szCs w:val="28"/>
          <w:shd w:val="clear" w:color="auto" w:fill="FFFFFF"/>
        </w:rPr>
        <w:footnoteReference w:id="58"/>
      </w:r>
      <w:r w:rsidR="000B34DC" w:rsidRPr="004A4D63">
        <w:rPr>
          <w:sz w:val="28"/>
          <w:szCs w:val="28"/>
          <w:shd w:val="clear" w:color="auto" w:fill="FFFFFF"/>
        </w:rPr>
        <w:t xml:space="preserve"> Some interviewees believe that it is redundant to give the target two notices and the opportunity to write two briefs</w:t>
      </w:r>
      <w:r w:rsidR="003C2EF1" w:rsidRPr="004A4D63">
        <w:rPr>
          <w:sz w:val="28"/>
          <w:szCs w:val="28"/>
          <w:shd w:val="clear" w:color="auto" w:fill="FFFFFF"/>
        </w:rPr>
        <w:t>, since by this point, it is unlikely OE will change its views.</w:t>
      </w:r>
      <w:r w:rsidR="000B34DC" w:rsidRPr="004A4D63">
        <w:rPr>
          <w:rStyle w:val="FootnoteReference"/>
          <w:sz w:val="28"/>
          <w:szCs w:val="28"/>
          <w:shd w:val="clear" w:color="auto" w:fill="FFFFFF"/>
        </w:rPr>
        <w:footnoteReference w:id="59"/>
      </w:r>
      <w:r w:rsidR="000B34DC" w:rsidRPr="004A4D63">
        <w:rPr>
          <w:sz w:val="28"/>
          <w:szCs w:val="28"/>
          <w:shd w:val="clear" w:color="auto" w:fill="FFFFFF"/>
        </w:rPr>
        <w:t xml:space="preserve"> </w:t>
      </w:r>
      <w:r w:rsidR="00D858D9" w:rsidRPr="004A4D63">
        <w:rPr>
          <w:sz w:val="28"/>
          <w:szCs w:val="28"/>
          <w:shd w:val="clear" w:color="auto" w:fill="FFFFFF"/>
        </w:rPr>
        <w:t xml:space="preserve">Others think it is not redundant because investigations </w:t>
      </w:r>
      <w:r w:rsidR="00F30C08" w:rsidRPr="004A4D63">
        <w:rPr>
          <w:sz w:val="28"/>
          <w:szCs w:val="28"/>
          <w:shd w:val="clear" w:color="auto" w:fill="FFFFFF"/>
        </w:rPr>
        <w:t xml:space="preserve">often take years to complete during which </w:t>
      </w:r>
      <w:r w:rsidR="004877A3" w:rsidRPr="004A4D63">
        <w:rPr>
          <w:sz w:val="28"/>
          <w:szCs w:val="28"/>
          <w:shd w:val="clear" w:color="auto" w:fill="FFFFFF"/>
        </w:rPr>
        <w:t xml:space="preserve">time </w:t>
      </w:r>
      <w:r w:rsidR="00D858D9" w:rsidRPr="004A4D63">
        <w:rPr>
          <w:sz w:val="28"/>
          <w:szCs w:val="28"/>
          <w:shd w:val="clear" w:color="auto" w:fill="FFFFFF"/>
        </w:rPr>
        <w:t>new commissioners</w:t>
      </w:r>
      <w:r w:rsidR="00F30C08" w:rsidRPr="004A4D63">
        <w:rPr>
          <w:sz w:val="28"/>
          <w:szCs w:val="28"/>
          <w:shd w:val="clear" w:color="auto" w:fill="FFFFFF"/>
        </w:rPr>
        <w:t xml:space="preserve"> are appointed.</w:t>
      </w:r>
      <w:r w:rsidR="00D858D9" w:rsidRPr="004A4D63">
        <w:rPr>
          <w:rStyle w:val="FootnoteReference"/>
          <w:sz w:val="28"/>
          <w:szCs w:val="28"/>
          <w:shd w:val="clear" w:color="auto" w:fill="FFFFFF"/>
        </w:rPr>
        <w:footnoteReference w:id="60"/>
      </w:r>
      <w:r w:rsidR="00D858D9" w:rsidRPr="004A4D63">
        <w:rPr>
          <w:sz w:val="28"/>
          <w:szCs w:val="28"/>
          <w:shd w:val="clear" w:color="auto" w:fill="FFFFFF"/>
        </w:rPr>
        <w:t xml:space="preserve"> </w:t>
      </w:r>
    </w:p>
    <w:p w14:paraId="3DD35A93" w14:textId="3DB00AD5" w:rsidR="003121EB" w:rsidRPr="004A4D63" w:rsidRDefault="003121EB" w:rsidP="0065383A">
      <w:pPr>
        <w:spacing w:line="480" w:lineRule="auto"/>
        <w:rPr>
          <w:sz w:val="28"/>
          <w:szCs w:val="28"/>
          <w:shd w:val="clear" w:color="auto" w:fill="FFFFFF"/>
        </w:rPr>
      </w:pPr>
      <w:r w:rsidRPr="004A4D63">
        <w:rPr>
          <w:sz w:val="28"/>
          <w:szCs w:val="28"/>
          <w:shd w:val="clear" w:color="auto" w:fill="FFFFFF"/>
        </w:rPr>
        <w:tab/>
        <w:t xml:space="preserve"> If OE is not persuaded by the </w:t>
      </w:r>
      <w:r w:rsidR="001F103E" w:rsidRPr="004A4D63">
        <w:rPr>
          <w:sz w:val="28"/>
          <w:szCs w:val="28"/>
          <w:shd w:val="clear" w:color="auto" w:fill="FFFFFF"/>
        </w:rPr>
        <w:t xml:space="preserve">target’s </w:t>
      </w:r>
      <w:r w:rsidRPr="004A4D63">
        <w:rPr>
          <w:sz w:val="28"/>
          <w:szCs w:val="28"/>
          <w:shd w:val="clear" w:color="auto" w:fill="FFFFFF"/>
        </w:rPr>
        <w:t xml:space="preserve">Rule 1b.19 </w:t>
      </w:r>
      <w:r w:rsidR="001F103E" w:rsidRPr="004A4D63">
        <w:rPr>
          <w:sz w:val="28"/>
          <w:szCs w:val="28"/>
          <w:shd w:val="clear" w:color="auto" w:fill="FFFFFF"/>
        </w:rPr>
        <w:t xml:space="preserve">response, </w:t>
      </w:r>
      <w:r w:rsidRPr="004A4D63">
        <w:rPr>
          <w:sz w:val="28"/>
          <w:szCs w:val="28"/>
          <w:shd w:val="clear" w:color="auto" w:fill="FFFFFF"/>
        </w:rPr>
        <w:t xml:space="preserve">it drafts an “Enforcement Staff Report and Recommendation” to the agency heads. </w:t>
      </w:r>
      <w:r w:rsidR="004B3539" w:rsidRPr="004A4D63">
        <w:rPr>
          <w:sz w:val="28"/>
          <w:szCs w:val="28"/>
          <w:shd w:val="clear" w:color="auto" w:fill="FFFFFF"/>
        </w:rPr>
        <w:t xml:space="preserve">This memo </w:t>
      </w:r>
      <w:r w:rsidRPr="004A4D63">
        <w:rPr>
          <w:sz w:val="28"/>
          <w:szCs w:val="28"/>
          <w:shd w:val="clear" w:color="auto" w:fill="FFFFFF"/>
        </w:rPr>
        <w:t xml:space="preserve">includes OE’s proposed findings and conclusions and its recommendation </w:t>
      </w:r>
      <w:r w:rsidR="00F60444" w:rsidRPr="004A4D63">
        <w:rPr>
          <w:sz w:val="28"/>
          <w:szCs w:val="28"/>
          <w:shd w:val="clear" w:color="auto" w:fill="FFFFFF"/>
        </w:rPr>
        <w:t xml:space="preserve">that the agency </w:t>
      </w:r>
      <w:r w:rsidRPr="004A4D63">
        <w:rPr>
          <w:sz w:val="28"/>
          <w:szCs w:val="28"/>
          <w:shd w:val="clear" w:color="auto" w:fill="FFFFFF"/>
        </w:rPr>
        <w:t xml:space="preserve">issue an </w:t>
      </w:r>
      <w:r w:rsidR="00D3441B" w:rsidRPr="004A4D63">
        <w:rPr>
          <w:sz w:val="28"/>
          <w:szCs w:val="28"/>
          <w:shd w:val="clear" w:color="auto" w:fill="FFFFFF"/>
        </w:rPr>
        <w:t xml:space="preserve">order finding violations and assessing civil penalties. </w:t>
      </w:r>
      <w:r w:rsidR="002103A0" w:rsidRPr="004A4D63">
        <w:rPr>
          <w:sz w:val="28"/>
          <w:szCs w:val="28"/>
          <w:shd w:val="clear" w:color="auto" w:fill="FFFFFF"/>
        </w:rPr>
        <w:t>Th</w:t>
      </w:r>
      <w:r w:rsidR="00F30C08" w:rsidRPr="004A4D63">
        <w:rPr>
          <w:sz w:val="28"/>
          <w:szCs w:val="28"/>
          <w:shd w:val="clear" w:color="auto" w:fill="FFFFFF"/>
        </w:rPr>
        <w:t>e</w:t>
      </w:r>
      <w:r w:rsidR="001F103E" w:rsidRPr="004A4D63">
        <w:rPr>
          <w:sz w:val="28"/>
          <w:szCs w:val="28"/>
          <w:shd w:val="clear" w:color="auto" w:fill="FFFFFF"/>
        </w:rPr>
        <w:t xml:space="preserve"> </w:t>
      </w:r>
      <w:r w:rsidR="00F30C08" w:rsidRPr="004A4D63">
        <w:rPr>
          <w:sz w:val="28"/>
          <w:szCs w:val="28"/>
          <w:shd w:val="clear" w:color="auto" w:fill="FFFFFF"/>
        </w:rPr>
        <w:t>enforcement staff and the Commission’s advisory staff and the commissioners themselves</w:t>
      </w:r>
      <w:r w:rsidR="001F103E" w:rsidRPr="004A4D63">
        <w:rPr>
          <w:sz w:val="28"/>
          <w:szCs w:val="28"/>
          <w:shd w:val="clear" w:color="auto" w:fill="FFFFFF"/>
        </w:rPr>
        <w:t xml:space="preserve"> often negotiate</w:t>
      </w:r>
      <w:r w:rsidR="0046334D" w:rsidRPr="004A4D63">
        <w:rPr>
          <w:sz w:val="28"/>
          <w:szCs w:val="28"/>
          <w:shd w:val="clear" w:color="auto" w:fill="FFFFFF"/>
        </w:rPr>
        <w:t xml:space="preserve"> about the content of the report</w:t>
      </w:r>
      <w:r w:rsidR="00F30C08" w:rsidRPr="004A4D63">
        <w:rPr>
          <w:sz w:val="28"/>
          <w:szCs w:val="28"/>
          <w:shd w:val="clear" w:color="auto" w:fill="FFFFFF"/>
        </w:rPr>
        <w:t xml:space="preserve">. </w:t>
      </w:r>
      <w:r w:rsidR="0046334D" w:rsidRPr="004A4D63">
        <w:rPr>
          <w:sz w:val="28"/>
          <w:szCs w:val="28"/>
          <w:shd w:val="clear" w:color="auto" w:fill="FFFFFF"/>
        </w:rPr>
        <w:t>The charging recommendation</w:t>
      </w:r>
      <w:r w:rsidR="0094366A" w:rsidRPr="004A4D63">
        <w:rPr>
          <w:sz w:val="28"/>
          <w:szCs w:val="28"/>
          <w:shd w:val="clear" w:color="auto" w:fill="FFFFFF"/>
        </w:rPr>
        <w:t xml:space="preserve"> is usually approved through notational voting rather than at a </w:t>
      </w:r>
      <w:r w:rsidR="00CA2EA7" w:rsidRPr="004A4D63">
        <w:rPr>
          <w:sz w:val="28"/>
          <w:szCs w:val="28"/>
          <w:shd w:val="clear" w:color="auto" w:fill="FFFFFF"/>
        </w:rPr>
        <w:t>formal meeting</w:t>
      </w:r>
      <w:r w:rsidR="0094366A" w:rsidRPr="004A4D63">
        <w:rPr>
          <w:sz w:val="28"/>
          <w:szCs w:val="28"/>
          <w:shd w:val="clear" w:color="auto" w:fill="FFFFFF"/>
        </w:rPr>
        <w:t xml:space="preserve">. It is rare that the </w:t>
      </w:r>
      <w:r w:rsidR="00F30C08" w:rsidRPr="004A4D63">
        <w:rPr>
          <w:sz w:val="28"/>
          <w:szCs w:val="28"/>
          <w:shd w:val="clear" w:color="auto" w:fill="FFFFFF"/>
        </w:rPr>
        <w:t xml:space="preserve">agency heads fail </w:t>
      </w:r>
      <w:r w:rsidR="0094366A" w:rsidRPr="004A4D63">
        <w:rPr>
          <w:sz w:val="28"/>
          <w:szCs w:val="28"/>
          <w:shd w:val="clear" w:color="auto" w:fill="FFFFFF"/>
        </w:rPr>
        <w:t xml:space="preserve">to approve </w:t>
      </w:r>
      <w:r w:rsidR="003A16F7" w:rsidRPr="004A4D63">
        <w:rPr>
          <w:sz w:val="28"/>
          <w:szCs w:val="28"/>
          <w:shd w:val="clear" w:color="auto" w:fill="FFFFFF"/>
        </w:rPr>
        <w:t>the recommendation</w:t>
      </w:r>
      <w:r w:rsidR="004877A3" w:rsidRPr="004A4D63">
        <w:rPr>
          <w:sz w:val="28"/>
          <w:szCs w:val="28"/>
          <w:shd w:val="clear" w:color="auto" w:fill="FFFFFF"/>
        </w:rPr>
        <w:t xml:space="preserve"> </w:t>
      </w:r>
      <w:r w:rsidR="00370EA4" w:rsidRPr="004A4D63">
        <w:rPr>
          <w:sz w:val="28"/>
          <w:szCs w:val="28"/>
          <w:shd w:val="clear" w:color="auto" w:fill="FFFFFF"/>
        </w:rPr>
        <w:t>(</w:t>
      </w:r>
      <w:r w:rsidR="004133E5" w:rsidRPr="004A4D63">
        <w:rPr>
          <w:sz w:val="28"/>
          <w:szCs w:val="28"/>
          <w:shd w:val="clear" w:color="auto" w:fill="FFFFFF"/>
        </w:rPr>
        <w:t xml:space="preserve">since </w:t>
      </w:r>
      <w:r w:rsidR="00370EA4" w:rsidRPr="004A4D63">
        <w:rPr>
          <w:sz w:val="28"/>
          <w:szCs w:val="28"/>
          <w:shd w:val="clear" w:color="auto" w:fill="FFFFFF"/>
        </w:rPr>
        <w:t xml:space="preserve">the extensive contacts between staff and agency heads </w:t>
      </w:r>
      <w:r w:rsidR="004133E5" w:rsidRPr="004A4D63">
        <w:rPr>
          <w:sz w:val="28"/>
          <w:szCs w:val="28"/>
          <w:shd w:val="clear" w:color="auto" w:fill="FFFFFF"/>
        </w:rPr>
        <w:t xml:space="preserve">make it likely that the </w:t>
      </w:r>
      <w:r w:rsidR="004133E5" w:rsidRPr="004A4D63">
        <w:rPr>
          <w:sz w:val="28"/>
          <w:szCs w:val="28"/>
          <w:shd w:val="clear" w:color="auto" w:fill="FFFFFF"/>
        </w:rPr>
        <w:lastRenderedPageBreak/>
        <w:t>heads concur)</w:t>
      </w:r>
      <w:r w:rsidR="008B428D" w:rsidRPr="004A4D63">
        <w:rPr>
          <w:sz w:val="28"/>
          <w:szCs w:val="28"/>
          <w:shd w:val="clear" w:color="auto" w:fill="FFFFFF"/>
        </w:rPr>
        <w:t>,</w:t>
      </w:r>
      <w:r w:rsidR="004133E5" w:rsidRPr="004A4D63">
        <w:rPr>
          <w:sz w:val="28"/>
          <w:szCs w:val="28"/>
          <w:shd w:val="clear" w:color="auto" w:fill="FFFFFF"/>
        </w:rPr>
        <w:t xml:space="preserve"> </w:t>
      </w:r>
      <w:r w:rsidR="004877A3" w:rsidRPr="004A4D63">
        <w:rPr>
          <w:sz w:val="28"/>
          <w:szCs w:val="28"/>
          <w:shd w:val="clear" w:color="auto" w:fill="FFFFFF"/>
        </w:rPr>
        <w:t xml:space="preserve">but </w:t>
      </w:r>
      <w:r w:rsidR="00183E93" w:rsidRPr="004A4D63">
        <w:rPr>
          <w:sz w:val="28"/>
          <w:szCs w:val="28"/>
          <w:shd w:val="clear" w:color="auto" w:fill="FFFFFF"/>
        </w:rPr>
        <w:t xml:space="preserve">instances of </w:t>
      </w:r>
      <w:r w:rsidR="00370EA4" w:rsidRPr="004A4D63">
        <w:rPr>
          <w:sz w:val="28"/>
          <w:szCs w:val="28"/>
          <w:shd w:val="clear" w:color="auto" w:fill="FFFFFF"/>
        </w:rPr>
        <w:t>non-approval</w:t>
      </w:r>
      <w:r w:rsidR="00183E93" w:rsidRPr="004A4D63">
        <w:rPr>
          <w:sz w:val="28"/>
          <w:szCs w:val="28"/>
          <w:shd w:val="clear" w:color="auto" w:fill="FFFFFF"/>
        </w:rPr>
        <w:t xml:space="preserve"> or dissenting opinions</w:t>
      </w:r>
      <w:r w:rsidR="00370EA4" w:rsidRPr="004A4D63">
        <w:rPr>
          <w:sz w:val="28"/>
          <w:szCs w:val="28"/>
          <w:shd w:val="clear" w:color="auto" w:fill="FFFFFF"/>
        </w:rPr>
        <w:t xml:space="preserve"> h</w:t>
      </w:r>
      <w:r w:rsidR="004877A3" w:rsidRPr="004A4D63">
        <w:rPr>
          <w:sz w:val="28"/>
          <w:szCs w:val="28"/>
          <w:shd w:val="clear" w:color="auto" w:fill="FFFFFF"/>
        </w:rPr>
        <w:t>a</w:t>
      </w:r>
      <w:r w:rsidR="00183E93" w:rsidRPr="004A4D63">
        <w:rPr>
          <w:sz w:val="28"/>
          <w:szCs w:val="28"/>
          <w:shd w:val="clear" w:color="auto" w:fill="FFFFFF"/>
        </w:rPr>
        <w:t>ve</w:t>
      </w:r>
      <w:r w:rsidR="004877A3" w:rsidRPr="004A4D63">
        <w:rPr>
          <w:sz w:val="28"/>
          <w:szCs w:val="28"/>
          <w:shd w:val="clear" w:color="auto" w:fill="FFFFFF"/>
        </w:rPr>
        <w:t xml:space="preserve"> occurred</w:t>
      </w:r>
      <w:r w:rsidR="003A16F7" w:rsidRPr="004A4D63">
        <w:rPr>
          <w:sz w:val="28"/>
          <w:szCs w:val="28"/>
          <w:shd w:val="clear" w:color="auto" w:fill="FFFFFF"/>
        </w:rPr>
        <w:t>.</w:t>
      </w:r>
      <w:r w:rsidR="002103A0" w:rsidRPr="004A4D63">
        <w:rPr>
          <w:rStyle w:val="FootnoteReference"/>
          <w:sz w:val="28"/>
          <w:szCs w:val="28"/>
          <w:shd w:val="clear" w:color="auto" w:fill="FFFFFF"/>
        </w:rPr>
        <w:footnoteReference w:id="61"/>
      </w:r>
      <w:r w:rsidR="002103A0" w:rsidRPr="004A4D63">
        <w:rPr>
          <w:sz w:val="28"/>
          <w:szCs w:val="28"/>
          <w:shd w:val="clear" w:color="auto" w:fill="FFFFFF"/>
        </w:rPr>
        <w:t xml:space="preserve">  </w:t>
      </w:r>
    </w:p>
    <w:p w14:paraId="00F1D457" w14:textId="441835FB" w:rsidR="00057793" w:rsidRPr="004A4D63" w:rsidRDefault="003121EB" w:rsidP="0065383A">
      <w:pPr>
        <w:spacing w:line="480" w:lineRule="auto"/>
        <w:rPr>
          <w:sz w:val="28"/>
          <w:szCs w:val="28"/>
          <w:shd w:val="clear" w:color="auto" w:fill="FFFFFF"/>
        </w:rPr>
      </w:pPr>
      <w:r w:rsidRPr="004A4D63">
        <w:rPr>
          <w:sz w:val="28"/>
          <w:szCs w:val="28"/>
          <w:shd w:val="clear" w:color="auto" w:fill="FFFFFF"/>
        </w:rPr>
        <w:tab/>
        <w:t xml:space="preserve"> If the heads concur with OE’s recommendation, </w:t>
      </w:r>
      <w:r w:rsidR="002103A0" w:rsidRPr="004A4D63">
        <w:rPr>
          <w:sz w:val="28"/>
          <w:szCs w:val="28"/>
          <w:shd w:val="clear" w:color="auto" w:fill="FFFFFF"/>
        </w:rPr>
        <w:t xml:space="preserve">FERC </w:t>
      </w:r>
      <w:r w:rsidRPr="004A4D63">
        <w:rPr>
          <w:sz w:val="28"/>
          <w:szCs w:val="28"/>
          <w:shd w:val="clear" w:color="auto" w:fill="FFFFFF"/>
        </w:rPr>
        <w:t>issues a</w:t>
      </w:r>
      <w:r w:rsidR="002103A0" w:rsidRPr="004A4D63">
        <w:rPr>
          <w:sz w:val="28"/>
          <w:szCs w:val="28"/>
          <w:shd w:val="clear" w:color="auto" w:fill="FFFFFF"/>
        </w:rPr>
        <w:t xml:space="preserve">n </w:t>
      </w:r>
      <w:r w:rsidR="00F30C08" w:rsidRPr="004A4D63">
        <w:rPr>
          <w:sz w:val="28"/>
          <w:szCs w:val="28"/>
          <w:shd w:val="clear" w:color="auto" w:fill="FFFFFF"/>
        </w:rPr>
        <w:t>Order to Show Cause</w:t>
      </w:r>
      <w:r w:rsidR="00281D09" w:rsidRPr="004A4D63">
        <w:rPr>
          <w:sz w:val="28"/>
          <w:szCs w:val="28"/>
          <w:shd w:val="clear" w:color="auto" w:fill="FFFFFF"/>
        </w:rPr>
        <w:t xml:space="preserve"> (OSC)</w:t>
      </w:r>
      <w:r w:rsidR="00F30C08" w:rsidRPr="004A4D63">
        <w:rPr>
          <w:sz w:val="28"/>
          <w:szCs w:val="28"/>
          <w:shd w:val="clear" w:color="auto" w:fill="FFFFFF"/>
        </w:rPr>
        <w:t>, which is the charging document</w:t>
      </w:r>
      <w:r w:rsidR="004133E5" w:rsidRPr="004A4D63">
        <w:rPr>
          <w:sz w:val="28"/>
          <w:szCs w:val="28"/>
          <w:shd w:val="clear" w:color="auto" w:fill="FFFFFF"/>
        </w:rPr>
        <w:t>.</w:t>
      </w:r>
      <w:r w:rsidR="00F30C08" w:rsidRPr="004A4D63">
        <w:rPr>
          <w:sz w:val="28"/>
          <w:szCs w:val="28"/>
          <w:shd w:val="clear" w:color="auto" w:fill="FFFFFF"/>
        </w:rPr>
        <w:t xml:space="preserve"> </w:t>
      </w:r>
      <w:r w:rsidRPr="004A4D63">
        <w:rPr>
          <w:sz w:val="28"/>
          <w:szCs w:val="28"/>
          <w:shd w:val="clear" w:color="auto" w:fill="FFFFFF"/>
        </w:rPr>
        <w:t xml:space="preserve">The target has </w:t>
      </w:r>
      <w:r w:rsidR="003A16F7" w:rsidRPr="004A4D63">
        <w:rPr>
          <w:sz w:val="28"/>
          <w:szCs w:val="28"/>
          <w:shd w:val="clear" w:color="auto" w:fill="FFFFFF"/>
        </w:rPr>
        <w:t xml:space="preserve">still </w:t>
      </w:r>
      <w:r w:rsidRPr="004A4D63">
        <w:rPr>
          <w:sz w:val="28"/>
          <w:szCs w:val="28"/>
          <w:shd w:val="clear" w:color="auto" w:fill="FFFFFF"/>
        </w:rPr>
        <w:t>another opportunity to respond to the OSC</w:t>
      </w:r>
      <w:r w:rsidR="003A16F7" w:rsidRPr="004A4D63">
        <w:rPr>
          <w:sz w:val="28"/>
          <w:szCs w:val="28"/>
          <w:shd w:val="clear" w:color="auto" w:fill="FFFFFF"/>
        </w:rPr>
        <w:t xml:space="preserve"> through a formal brief</w:t>
      </w:r>
      <w:r w:rsidR="004877A3" w:rsidRPr="004A4D63">
        <w:rPr>
          <w:sz w:val="28"/>
          <w:szCs w:val="28"/>
          <w:shd w:val="clear" w:color="auto" w:fill="FFFFFF"/>
        </w:rPr>
        <w:t>.</w:t>
      </w:r>
      <w:r w:rsidRPr="004A4D63">
        <w:rPr>
          <w:rStyle w:val="FootnoteReference"/>
          <w:sz w:val="28"/>
          <w:szCs w:val="28"/>
          <w:shd w:val="clear" w:color="auto" w:fill="FFFFFF"/>
        </w:rPr>
        <w:footnoteReference w:id="62"/>
      </w:r>
      <w:r w:rsidRPr="004A4D63">
        <w:rPr>
          <w:sz w:val="28"/>
          <w:szCs w:val="28"/>
          <w:shd w:val="clear" w:color="auto" w:fill="FFFFFF"/>
        </w:rPr>
        <w:t xml:space="preserve"> The  Commission’s issuance of an  OSC triggers the Commission’s ex parte and separation of  functions rules</w:t>
      </w:r>
      <w:r w:rsidR="00F60444" w:rsidRPr="004A4D63">
        <w:rPr>
          <w:sz w:val="28"/>
          <w:szCs w:val="28"/>
          <w:shd w:val="clear" w:color="auto" w:fill="FFFFFF"/>
        </w:rPr>
        <w:t xml:space="preserve">.  At that </w:t>
      </w:r>
      <w:r w:rsidRPr="004A4D63">
        <w:rPr>
          <w:sz w:val="28"/>
          <w:szCs w:val="28"/>
          <w:shd w:val="clear" w:color="auto" w:fill="FFFFFF"/>
        </w:rPr>
        <w:t>point</w:t>
      </w:r>
      <w:r w:rsidR="00F60444" w:rsidRPr="004A4D63">
        <w:rPr>
          <w:sz w:val="28"/>
          <w:szCs w:val="28"/>
          <w:shd w:val="clear" w:color="auto" w:fill="FFFFFF"/>
        </w:rPr>
        <w:t>,</w:t>
      </w:r>
      <w:r w:rsidRPr="004A4D63">
        <w:rPr>
          <w:sz w:val="28"/>
          <w:szCs w:val="28"/>
          <w:shd w:val="clear" w:color="auto" w:fill="FFFFFF"/>
        </w:rPr>
        <w:t xml:space="preserve"> the enforcement staff is prohibited from communicating with the heads or their decisional advisers except on the record.</w:t>
      </w:r>
      <w:r w:rsidRPr="004A4D63">
        <w:rPr>
          <w:rStyle w:val="FootnoteReference"/>
          <w:sz w:val="28"/>
          <w:szCs w:val="28"/>
          <w:shd w:val="clear" w:color="auto" w:fill="FFFFFF"/>
        </w:rPr>
        <w:footnoteReference w:id="63"/>
      </w:r>
      <w:r w:rsidR="0046334D" w:rsidRPr="004A4D63">
        <w:rPr>
          <w:sz w:val="28"/>
          <w:szCs w:val="28"/>
          <w:shd w:val="clear" w:color="auto" w:fill="FFFFFF"/>
        </w:rPr>
        <w:t xml:space="preserve"> </w:t>
      </w:r>
      <w:r w:rsidR="00057793" w:rsidRPr="004A4D63">
        <w:rPr>
          <w:sz w:val="28"/>
          <w:szCs w:val="28"/>
          <w:shd w:val="clear" w:color="auto" w:fill="FFFFFF"/>
        </w:rPr>
        <w:t xml:space="preserve"> </w:t>
      </w:r>
    </w:p>
    <w:p w14:paraId="4E0A1743" w14:textId="13A5F12E" w:rsidR="00377D19" w:rsidRPr="004A4D63" w:rsidRDefault="00057793" w:rsidP="0065383A">
      <w:pPr>
        <w:spacing w:line="480" w:lineRule="auto"/>
        <w:ind w:firstLine="720"/>
        <w:rPr>
          <w:sz w:val="28"/>
          <w:szCs w:val="28"/>
          <w:shd w:val="clear" w:color="auto" w:fill="FFFFFF"/>
        </w:rPr>
      </w:pPr>
      <w:r w:rsidRPr="004A4D63">
        <w:rPr>
          <w:sz w:val="28"/>
          <w:szCs w:val="28"/>
          <w:shd w:val="clear" w:color="auto" w:fill="FFFFFF"/>
        </w:rPr>
        <w:t>The applicable procedure from this point forward depends on whether the case involves electricity or gas. In gas cases, the heads refer the case</w:t>
      </w:r>
      <w:r w:rsidR="004877A3" w:rsidRPr="004A4D63">
        <w:rPr>
          <w:sz w:val="28"/>
          <w:szCs w:val="28"/>
          <w:shd w:val="clear" w:color="auto" w:fill="FFFFFF"/>
        </w:rPr>
        <w:t xml:space="preserve"> to an ALJ </w:t>
      </w:r>
      <w:r w:rsidRPr="004A4D63">
        <w:rPr>
          <w:sz w:val="28"/>
          <w:szCs w:val="28"/>
          <w:shd w:val="clear" w:color="auto" w:fill="FFFFFF"/>
        </w:rPr>
        <w:t xml:space="preserve">for a trial-type hearing </w:t>
      </w:r>
      <w:r w:rsidR="00370EA4" w:rsidRPr="004A4D63">
        <w:rPr>
          <w:sz w:val="28"/>
          <w:szCs w:val="28"/>
          <w:shd w:val="clear" w:color="auto" w:fill="FFFFFF"/>
        </w:rPr>
        <w:t>i</w:t>
      </w:r>
      <w:r w:rsidR="004877A3" w:rsidRPr="004A4D63">
        <w:rPr>
          <w:sz w:val="28"/>
          <w:szCs w:val="28"/>
          <w:shd w:val="clear" w:color="auto" w:fill="FFFFFF"/>
        </w:rPr>
        <w:t>f there are unresolved factual issues</w:t>
      </w:r>
      <w:r w:rsidRPr="004A4D63">
        <w:rPr>
          <w:sz w:val="28"/>
          <w:szCs w:val="28"/>
          <w:shd w:val="clear" w:color="auto" w:fill="FFFFFF"/>
        </w:rPr>
        <w:t>.</w:t>
      </w:r>
      <w:r w:rsidR="004877A3" w:rsidRPr="004A4D63">
        <w:rPr>
          <w:sz w:val="28"/>
          <w:szCs w:val="28"/>
          <w:shd w:val="clear" w:color="auto" w:fill="FFFFFF"/>
        </w:rPr>
        <w:t xml:space="preserve"> I</w:t>
      </w:r>
      <w:r w:rsidRPr="004A4D63">
        <w:rPr>
          <w:sz w:val="28"/>
          <w:szCs w:val="28"/>
          <w:shd w:val="clear" w:color="auto" w:fill="FFFFFF"/>
        </w:rPr>
        <w:t>n gas cases</w:t>
      </w:r>
      <w:r w:rsidR="004877A3" w:rsidRPr="004A4D63">
        <w:rPr>
          <w:sz w:val="28"/>
          <w:szCs w:val="28"/>
          <w:shd w:val="clear" w:color="auto" w:fill="FFFFFF"/>
        </w:rPr>
        <w:t xml:space="preserve"> heard by an ALJ, the agency heads make the final agency decision. </w:t>
      </w:r>
    </w:p>
    <w:p w14:paraId="64DF7454" w14:textId="373D5D3A" w:rsidR="003121EB" w:rsidRPr="004A4D63" w:rsidRDefault="003121EB" w:rsidP="0065383A">
      <w:pPr>
        <w:spacing w:line="480" w:lineRule="auto"/>
        <w:rPr>
          <w:sz w:val="28"/>
          <w:szCs w:val="28"/>
        </w:rPr>
      </w:pPr>
      <w:r w:rsidRPr="004A4D63">
        <w:rPr>
          <w:sz w:val="28"/>
          <w:szCs w:val="28"/>
          <w:shd w:val="clear" w:color="auto" w:fill="FFFFFF"/>
        </w:rPr>
        <w:t xml:space="preserve">           </w:t>
      </w:r>
      <w:r w:rsidR="00CA2EA7" w:rsidRPr="004A4D63">
        <w:rPr>
          <w:sz w:val="28"/>
          <w:szCs w:val="28"/>
          <w:shd w:val="clear" w:color="auto" w:fill="FFFFFF"/>
        </w:rPr>
        <w:t>I</w:t>
      </w:r>
      <w:r w:rsidR="000B34DC" w:rsidRPr="004A4D63">
        <w:rPr>
          <w:sz w:val="28"/>
          <w:szCs w:val="28"/>
          <w:shd w:val="clear" w:color="auto" w:fill="FFFFFF"/>
        </w:rPr>
        <w:t xml:space="preserve">n electricity but not gas cases, </w:t>
      </w:r>
      <w:r w:rsidR="00370EA4" w:rsidRPr="004A4D63">
        <w:rPr>
          <w:sz w:val="28"/>
          <w:szCs w:val="28"/>
          <w:shd w:val="clear" w:color="auto" w:fill="FFFFFF"/>
        </w:rPr>
        <w:t xml:space="preserve">a target can elect a different process within 30 days after </w:t>
      </w:r>
      <w:r w:rsidR="00F65CCB" w:rsidRPr="004A4D63">
        <w:rPr>
          <w:sz w:val="28"/>
          <w:szCs w:val="28"/>
          <w:shd w:val="clear" w:color="auto" w:fill="FFFFFF"/>
        </w:rPr>
        <w:t>FERC issues an OSC proposing a civil penalty</w:t>
      </w:r>
      <w:r w:rsidR="00370EA4" w:rsidRPr="004A4D63">
        <w:rPr>
          <w:sz w:val="28"/>
          <w:szCs w:val="28"/>
          <w:shd w:val="clear" w:color="auto" w:fill="FFFFFF"/>
        </w:rPr>
        <w:t>.</w:t>
      </w:r>
      <w:r w:rsidR="00F65CCB" w:rsidRPr="004A4D63">
        <w:rPr>
          <w:rStyle w:val="FootnoteReference"/>
          <w:sz w:val="28"/>
          <w:szCs w:val="28"/>
          <w:shd w:val="clear" w:color="auto" w:fill="FFFFFF"/>
        </w:rPr>
        <w:footnoteReference w:id="64"/>
      </w:r>
      <w:r w:rsidRPr="004A4D63">
        <w:rPr>
          <w:sz w:val="28"/>
          <w:szCs w:val="28"/>
          <w:shd w:val="clear" w:color="auto" w:fill="FFFFFF"/>
        </w:rPr>
        <w:t xml:space="preserve"> </w:t>
      </w:r>
      <w:r w:rsidR="008D6D4E" w:rsidRPr="004A4D63">
        <w:rPr>
          <w:sz w:val="28"/>
          <w:szCs w:val="28"/>
          <w:shd w:val="clear" w:color="auto" w:fill="FFFFFF"/>
        </w:rPr>
        <w:t xml:space="preserve"> Alternative process allows the target to </w:t>
      </w:r>
      <w:r w:rsidR="00370EA4" w:rsidRPr="004A4D63">
        <w:rPr>
          <w:sz w:val="28"/>
          <w:szCs w:val="28"/>
          <w:shd w:val="clear" w:color="auto" w:fill="FFFFFF"/>
        </w:rPr>
        <w:t xml:space="preserve">obtain a </w:t>
      </w:r>
      <w:r w:rsidRPr="004A4D63">
        <w:rPr>
          <w:sz w:val="28"/>
          <w:szCs w:val="28"/>
          <w:shd w:val="clear" w:color="auto" w:fill="FFFFFF"/>
        </w:rPr>
        <w:t>“review de novo” of the assessment befor</w:t>
      </w:r>
      <w:r w:rsidR="00D529A8" w:rsidRPr="004A4D63">
        <w:rPr>
          <w:sz w:val="28"/>
          <w:szCs w:val="28"/>
          <w:shd w:val="clear" w:color="auto" w:fill="FFFFFF"/>
        </w:rPr>
        <w:t>e</w:t>
      </w:r>
      <w:r w:rsidRPr="004A4D63">
        <w:rPr>
          <w:sz w:val="28"/>
          <w:szCs w:val="28"/>
          <w:shd w:val="clear" w:color="auto" w:fill="FFFFFF"/>
        </w:rPr>
        <w:t xml:space="preserve"> a </w:t>
      </w:r>
      <w:r w:rsidR="00D529A8" w:rsidRPr="004A4D63">
        <w:rPr>
          <w:sz w:val="28"/>
          <w:szCs w:val="28"/>
          <w:shd w:val="clear" w:color="auto" w:fill="FFFFFF"/>
        </w:rPr>
        <w:t>federal</w:t>
      </w:r>
      <w:r w:rsidRPr="004A4D63">
        <w:rPr>
          <w:sz w:val="28"/>
          <w:szCs w:val="28"/>
          <w:shd w:val="clear" w:color="auto" w:fill="FFFFFF"/>
        </w:rPr>
        <w:t xml:space="preserve"> district court. If </w:t>
      </w:r>
      <w:r w:rsidR="00D529A8" w:rsidRPr="004A4D63">
        <w:rPr>
          <w:sz w:val="28"/>
          <w:szCs w:val="28"/>
          <w:shd w:val="clear" w:color="auto" w:fill="FFFFFF"/>
        </w:rPr>
        <w:t xml:space="preserve">the target makes this election, </w:t>
      </w:r>
      <w:r w:rsidRPr="004A4D63">
        <w:rPr>
          <w:sz w:val="28"/>
          <w:szCs w:val="28"/>
          <w:shd w:val="clear" w:color="auto" w:fill="FFFFFF"/>
        </w:rPr>
        <w:t xml:space="preserve">the Commission </w:t>
      </w:r>
      <w:r w:rsidR="00370EA4" w:rsidRPr="004A4D63">
        <w:rPr>
          <w:sz w:val="28"/>
          <w:szCs w:val="28"/>
          <w:shd w:val="clear" w:color="auto" w:fill="FFFFFF"/>
        </w:rPr>
        <w:t xml:space="preserve">assesses the penalty </w:t>
      </w:r>
      <w:r w:rsidR="00370EA4" w:rsidRPr="004A4D63">
        <w:rPr>
          <w:sz w:val="28"/>
          <w:szCs w:val="28"/>
          <w:shd w:val="clear" w:color="auto" w:fill="FFFFFF"/>
        </w:rPr>
        <w:lastRenderedPageBreak/>
        <w:t>after a “</w:t>
      </w:r>
      <w:r w:rsidRPr="004A4D63">
        <w:rPr>
          <w:sz w:val="28"/>
          <w:szCs w:val="28"/>
          <w:shd w:val="clear" w:color="auto" w:fill="FFFFFF"/>
        </w:rPr>
        <w:t>paper hearing</w:t>
      </w:r>
      <w:r w:rsidR="00370EA4" w:rsidRPr="004A4D63">
        <w:rPr>
          <w:sz w:val="28"/>
          <w:szCs w:val="28"/>
          <w:shd w:val="clear" w:color="auto" w:fill="FFFFFF"/>
        </w:rPr>
        <w:t xml:space="preserve">” (meaning the decision is based on documents in the file). </w:t>
      </w:r>
      <w:r w:rsidR="008D6D4E" w:rsidRPr="004A4D63">
        <w:rPr>
          <w:sz w:val="28"/>
          <w:szCs w:val="28"/>
          <w:shd w:val="clear" w:color="auto" w:fill="FFFFFF"/>
        </w:rPr>
        <w:t xml:space="preserve">FERC </w:t>
      </w:r>
      <w:r w:rsidRPr="004A4D63">
        <w:rPr>
          <w:sz w:val="28"/>
          <w:szCs w:val="28"/>
          <w:shd w:val="clear" w:color="auto" w:fill="FFFFFF"/>
        </w:rPr>
        <w:t>then file</w:t>
      </w:r>
      <w:r w:rsidR="003C2EF1" w:rsidRPr="004A4D63">
        <w:rPr>
          <w:sz w:val="28"/>
          <w:szCs w:val="28"/>
          <w:shd w:val="clear" w:color="auto" w:fill="FFFFFF"/>
        </w:rPr>
        <w:t xml:space="preserve">s </w:t>
      </w:r>
      <w:r w:rsidRPr="004A4D63">
        <w:rPr>
          <w:sz w:val="28"/>
          <w:szCs w:val="28"/>
          <w:shd w:val="clear" w:color="auto" w:fill="FFFFFF"/>
        </w:rPr>
        <w:t xml:space="preserve">an action in district court for an order affirming the civil penalty. The court </w:t>
      </w:r>
      <w:r w:rsidR="00F30C08" w:rsidRPr="004A4D63">
        <w:rPr>
          <w:sz w:val="28"/>
          <w:szCs w:val="28"/>
          <w:shd w:val="clear" w:color="auto" w:fill="FFFFFF"/>
        </w:rPr>
        <w:t xml:space="preserve">conducts </w:t>
      </w:r>
      <w:r w:rsidRPr="004A4D63">
        <w:rPr>
          <w:sz w:val="28"/>
          <w:szCs w:val="28"/>
          <w:shd w:val="clear" w:color="auto" w:fill="FFFFFF"/>
        </w:rPr>
        <w:t xml:space="preserve">a trial of the validity of the sanction. </w:t>
      </w:r>
      <w:r w:rsidR="003A16F7" w:rsidRPr="004A4D63">
        <w:rPr>
          <w:sz w:val="28"/>
          <w:szCs w:val="28"/>
          <w:shd w:val="clear" w:color="auto" w:fill="FFFFFF"/>
        </w:rPr>
        <w:t xml:space="preserve"> In close to 100% of </w:t>
      </w:r>
      <w:r w:rsidR="00057793" w:rsidRPr="004A4D63">
        <w:rPr>
          <w:sz w:val="28"/>
          <w:szCs w:val="28"/>
          <w:shd w:val="clear" w:color="auto" w:fill="FFFFFF"/>
        </w:rPr>
        <w:t xml:space="preserve">electricity </w:t>
      </w:r>
      <w:r w:rsidR="003A16F7" w:rsidRPr="004A4D63">
        <w:rPr>
          <w:sz w:val="28"/>
          <w:szCs w:val="28"/>
          <w:shd w:val="clear" w:color="auto" w:fill="FFFFFF"/>
        </w:rPr>
        <w:t xml:space="preserve">cases, lawyers </w:t>
      </w:r>
      <w:r w:rsidR="00CA2EA7" w:rsidRPr="004A4D63">
        <w:rPr>
          <w:sz w:val="28"/>
          <w:szCs w:val="28"/>
          <w:shd w:val="clear" w:color="auto" w:fill="FFFFFF"/>
        </w:rPr>
        <w:t xml:space="preserve">make </w:t>
      </w:r>
      <w:r w:rsidR="000B34DC" w:rsidRPr="004A4D63">
        <w:rPr>
          <w:sz w:val="28"/>
          <w:szCs w:val="28"/>
          <w:shd w:val="clear" w:color="auto" w:fill="FFFFFF"/>
        </w:rPr>
        <w:t>this election because they feel the prospects for success are</w:t>
      </w:r>
      <w:r w:rsidR="003A16F7" w:rsidRPr="004A4D63">
        <w:rPr>
          <w:sz w:val="28"/>
          <w:szCs w:val="28"/>
          <w:shd w:val="clear" w:color="auto" w:fill="FFFFFF"/>
        </w:rPr>
        <w:t xml:space="preserve"> </w:t>
      </w:r>
      <w:r w:rsidR="00EB3376" w:rsidRPr="004A4D63">
        <w:rPr>
          <w:sz w:val="28"/>
          <w:szCs w:val="28"/>
          <w:shd w:val="clear" w:color="auto" w:fill="FFFFFF"/>
        </w:rPr>
        <w:t xml:space="preserve">better </w:t>
      </w:r>
      <w:r w:rsidR="000B34DC" w:rsidRPr="004A4D63">
        <w:rPr>
          <w:sz w:val="28"/>
          <w:szCs w:val="28"/>
          <w:shd w:val="clear" w:color="auto" w:fill="FFFFFF"/>
        </w:rPr>
        <w:t xml:space="preserve">before </w:t>
      </w:r>
      <w:r w:rsidR="00F30C08" w:rsidRPr="004A4D63">
        <w:rPr>
          <w:sz w:val="28"/>
          <w:szCs w:val="28"/>
          <w:shd w:val="clear" w:color="auto" w:fill="FFFFFF"/>
        </w:rPr>
        <w:t xml:space="preserve">a </w:t>
      </w:r>
      <w:r w:rsidR="000B34DC" w:rsidRPr="004A4D63">
        <w:rPr>
          <w:sz w:val="28"/>
          <w:szCs w:val="28"/>
          <w:shd w:val="clear" w:color="auto" w:fill="FFFFFF"/>
        </w:rPr>
        <w:t xml:space="preserve">district court than </w:t>
      </w:r>
      <w:r w:rsidR="004877A3" w:rsidRPr="004A4D63">
        <w:rPr>
          <w:sz w:val="28"/>
          <w:szCs w:val="28"/>
          <w:shd w:val="clear" w:color="auto" w:fill="FFFFFF"/>
        </w:rPr>
        <w:t>if the FERC decides the case in house.</w:t>
      </w:r>
      <w:r w:rsidR="000B34DC" w:rsidRPr="004A4D63">
        <w:rPr>
          <w:rStyle w:val="FootnoteReference"/>
          <w:sz w:val="28"/>
          <w:szCs w:val="28"/>
          <w:shd w:val="clear" w:color="auto" w:fill="FFFFFF"/>
        </w:rPr>
        <w:footnoteReference w:id="65"/>
      </w:r>
      <w:r w:rsidR="000B34DC" w:rsidRPr="004A4D63">
        <w:rPr>
          <w:sz w:val="28"/>
          <w:szCs w:val="28"/>
          <w:shd w:val="clear" w:color="auto" w:fill="FFFFFF"/>
        </w:rPr>
        <w:t xml:space="preserve"> </w:t>
      </w:r>
      <w:r w:rsidR="00594191" w:rsidRPr="004A4D63">
        <w:rPr>
          <w:sz w:val="28"/>
          <w:szCs w:val="28"/>
          <w:shd w:val="clear" w:color="auto" w:fill="FFFFFF"/>
        </w:rPr>
        <w:t xml:space="preserve"> </w:t>
      </w:r>
      <w:r w:rsidR="00D3441B" w:rsidRPr="004A4D63">
        <w:rPr>
          <w:sz w:val="28"/>
          <w:szCs w:val="28"/>
          <w:shd w:val="clear" w:color="auto" w:fill="FFFFFF"/>
        </w:rPr>
        <w:t>In district courts, the Commission has been successful in obtaining favorable pre-trial rulings in support of its enforcement theories, though most cases settle before trial.</w:t>
      </w:r>
      <w:r w:rsidR="003C2EF1" w:rsidRPr="004A4D63">
        <w:rPr>
          <w:rStyle w:val="FootnoteReference"/>
          <w:sz w:val="28"/>
          <w:szCs w:val="28"/>
          <w:shd w:val="clear" w:color="auto" w:fill="FFFFFF"/>
        </w:rPr>
        <w:footnoteReference w:id="66"/>
      </w:r>
      <w:r w:rsidR="003A16F7" w:rsidRPr="004A4D63">
        <w:rPr>
          <w:sz w:val="28"/>
          <w:szCs w:val="28"/>
          <w:shd w:val="clear" w:color="auto" w:fill="FFFFFF"/>
        </w:rPr>
        <w:t xml:space="preserve"> </w:t>
      </w:r>
    </w:p>
    <w:p w14:paraId="76ABA393" w14:textId="6955E106" w:rsidR="003121EB" w:rsidRPr="004A4D63" w:rsidRDefault="0046334D" w:rsidP="0065383A">
      <w:pPr>
        <w:spacing w:line="480" w:lineRule="auto"/>
        <w:rPr>
          <w:b/>
          <w:bCs/>
          <w:sz w:val="28"/>
          <w:szCs w:val="28"/>
        </w:rPr>
      </w:pPr>
      <w:r w:rsidRPr="004A4D63">
        <w:rPr>
          <w:b/>
          <w:bCs/>
          <w:sz w:val="28"/>
          <w:szCs w:val="28"/>
        </w:rPr>
        <w:t>E.</w:t>
      </w:r>
      <w:r w:rsidR="00EB3376" w:rsidRPr="004A4D63">
        <w:rPr>
          <w:b/>
          <w:bCs/>
          <w:sz w:val="28"/>
          <w:szCs w:val="28"/>
        </w:rPr>
        <w:t xml:space="preserve"> NATIONAL LABOR RELATIONS BOARD</w:t>
      </w:r>
      <w:r w:rsidR="003121EB" w:rsidRPr="004A4D63">
        <w:rPr>
          <w:b/>
          <w:bCs/>
          <w:sz w:val="28"/>
          <w:szCs w:val="28"/>
        </w:rPr>
        <w:t xml:space="preserve"> </w:t>
      </w:r>
      <w:r w:rsidR="00057793" w:rsidRPr="004A4D63">
        <w:rPr>
          <w:b/>
          <w:bCs/>
          <w:sz w:val="28"/>
          <w:szCs w:val="28"/>
        </w:rPr>
        <w:t>(NLRB)</w:t>
      </w:r>
    </w:p>
    <w:p w14:paraId="0600B6DE" w14:textId="31C53953" w:rsidR="00C838B5" w:rsidRPr="004A4D63" w:rsidRDefault="003121EB" w:rsidP="0065383A">
      <w:pPr>
        <w:spacing w:line="480" w:lineRule="auto"/>
        <w:rPr>
          <w:sz w:val="28"/>
          <w:szCs w:val="28"/>
        </w:rPr>
      </w:pPr>
      <w:r w:rsidRPr="004A4D63">
        <w:rPr>
          <w:sz w:val="28"/>
          <w:szCs w:val="28"/>
        </w:rPr>
        <w:tab/>
      </w:r>
      <w:r w:rsidR="007F4FE6" w:rsidRPr="004A4D63">
        <w:rPr>
          <w:sz w:val="28"/>
          <w:szCs w:val="28"/>
        </w:rPr>
        <w:t xml:space="preserve">The </w:t>
      </w:r>
      <w:r w:rsidR="00047577" w:rsidRPr="004A4D63">
        <w:rPr>
          <w:sz w:val="28"/>
          <w:szCs w:val="28"/>
        </w:rPr>
        <w:t>G</w:t>
      </w:r>
      <w:r w:rsidR="007F4FE6" w:rsidRPr="004A4D63">
        <w:rPr>
          <w:sz w:val="28"/>
          <w:szCs w:val="28"/>
        </w:rPr>
        <w:t xml:space="preserve">eneral </w:t>
      </w:r>
      <w:r w:rsidR="00047577" w:rsidRPr="004A4D63">
        <w:rPr>
          <w:sz w:val="28"/>
          <w:szCs w:val="28"/>
        </w:rPr>
        <w:t>C</w:t>
      </w:r>
      <w:r w:rsidR="007F4FE6" w:rsidRPr="004A4D63">
        <w:rPr>
          <w:sz w:val="28"/>
          <w:szCs w:val="28"/>
        </w:rPr>
        <w:t xml:space="preserve">ounsel (GC) of the </w:t>
      </w:r>
      <w:r w:rsidR="00AD6DB0" w:rsidRPr="004A4D63">
        <w:rPr>
          <w:sz w:val="28"/>
          <w:szCs w:val="28"/>
        </w:rPr>
        <w:t>NLRB h</w:t>
      </w:r>
      <w:r w:rsidR="007F4FE6" w:rsidRPr="004A4D63">
        <w:rPr>
          <w:sz w:val="28"/>
          <w:szCs w:val="28"/>
        </w:rPr>
        <w:t xml:space="preserve">as exclusive power to </w:t>
      </w:r>
      <w:r w:rsidR="00445F46" w:rsidRPr="004A4D63">
        <w:rPr>
          <w:sz w:val="28"/>
          <w:szCs w:val="28"/>
        </w:rPr>
        <w:t xml:space="preserve">decide whether to issue complaints based on charges filed </w:t>
      </w:r>
      <w:r w:rsidR="007F4FE6" w:rsidRPr="004A4D63">
        <w:rPr>
          <w:sz w:val="28"/>
          <w:szCs w:val="28"/>
        </w:rPr>
        <w:t xml:space="preserve">in unfair labor practice (ULP) cases. As a result, the </w:t>
      </w:r>
      <w:r w:rsidR="00CE4375" w:rsidRPr="004A4D63">
        <w:rPr>
          <w:sz w:val="28"/>
          <w:szCs w:val="28"/>
        </w:rPr>
        <w:t xml:space="preserve">five NLRB </w:t>
      </w:r>
      <w:r w:rsidR="00047577" w:rsidRPr="004A4D63">
        <w:rPr>
          <w:sz w:val="28"/>
          <w:szCs w:val="28"/>
        </w:rPr>
        <w:t xml:space="preserve">board members </w:t>
      </w:r>
      <w:r w:rsidR="007F4FE6" w:rsidRPr="004A4D63">
        <w:rPr>
          <w:sz w:val="28"/>
          <w:szCs w:val="28"/>
        </w:rPr>
        <w:t xml:space="preserve">play no role in </w:t>
      </w:r>
      <w:r w:rsidR="00445F46" w:rsidRPr="004A4D63">
        <w:rPr>
          <w:sz w:val="28"/>
          <w:szCs w:val="28"/>
        </w:rPr>
        <w:t xml:space="preserve">those </w:t>
      </w:r>
      <w:r w:rsidR="007F4FE6" w:rsidRPr="004A4D63">
        <w:rPr>
          <w:sz w:val="28"/>
          <w:szCs w:val="28"/>
        </w:rPr>
        <w:t>decisions</w:t>
      </w:r>
      <w:r w:rsidR="0015073D" w:rsidRPr="004A4D63">
        <w:rPr>
          <w:sz w:val="28"/>
          <w:szCs w:val="28"/>
        </w:rPr>
        <w:t xml:space="preserve"> and </w:t>
      </w:r>
      <w:r w:rsidR="00CE4375" w:rsidRPr="004A4D63">
        <w:rPr>
          <w:sz w:val="28"/>
          <w:szCs w:val="28"/>
        </w:rPr>
        <w:t xml:space="preserve">exercise </w:t>
      </w:r>
      <w:r w:rsidR="0015073D" w:rsidRPr="004A4D63">
        <w:rPr>
          <w:sz w:val="28"/>
          <w:szCs w:val="28"/>
        </w:rPr>
        <w:t>no prosecutorial function</w:t>
      </w:r>
      <w:r w:rsidR="007F4FE6" w:rsidRPr="004A4D63">
        <w:rPr>
          <w:sz w:val="28"/>
          <w:szCs w:val="28"/>
        </w:rPr>
        <w:t>.</w:t>
      </w:r>
      <w:r w:rsidR="007F4FE6" w:rsidRPr="004A4D63">
        <w:rPr>
          <w:rStyle w:val="FootnoteReference"/>
          <w:sz w:val="28"/>
          <w:szCs w:val="28"/>
        </w:rPr>
        <w:footnoteReference w:id="67"/>
      </w:r>
      <w:r w:rsidR="00C838B5" w:rsidRPr="004A4D63">
        <w:rPr>
          <w:sz w:val="28"/>
          <w:szCs w:val="28"/>
        </w:rPr>
        <w:t xml:space="preserve"> </w:t>
      </w:r>
      <w:r w:rsidRPr="004A4D63">
        <w:rPr>
          <w:sz w:val="28"/>
          <w:szCs w:val="28"/>
        </w:rPr>
        <w:t xml:space="preserve">The GC is appointed by the </w:t>
      </w:r>
      <w:r w:rsidR="00047577" w:rsidRPr="004A4D63">
        <w:rPr>
          <w:sz w:val="28"/>
          <w:szCs w:val="28"/>
        </w:rPr>
        <w:t>P</w:t>
      </w:r>
      <w:r w:rsidRPr="004A4D63">
        <w:rPr>
          <w:sz w:val="28"/>
          <w:szCs w:val="28"/>
        </w:rPr>
        <w:t xml:space="preserve">resident and confirmed by the Senate. </w:t>
      </w:r>
      <w:r w:rsidR="00001A30" w:rsidRPr="004A4D63">
        <w:rPr>
          <w:sz w:val="28"/>
          <w:szCs w:val="28"/>
        </w:rPr>
        <w:t xml:space="preserve">Whether the President can discharge the </w:t>
      </w:r>
      <w:r w:rsidR="0043743E" w:rsidRPr="004A4D63">
        <w:rPr>
          <w:sz w:val="28"/>
          <w:szCs w:val="28"/>
        </w:rPr>
        <w:t xml:space="preserve">GC </w:t>
      </w:r>
      <w:r w:rsidR="00001A30" w:rsidRPr="004A4D63">
        <w:rPr>
          <w:sz w:val="28"/>
          <w:szCs w:val="28"/>
        </w:rPr>
        <w:t>is currently the subject of federal court litigation.</w:t>
      </w:r>
      <w:r w:rsidR="00001A30" w:rsidRPr="004A4D63">
        <w:rPr>
          <w:rStyle w:val="FootnoteReference"/>
          <w:sz w:val="28"/>
          <w:szCs w:val="28"/>
        </w:rPr>
        <w:footnoteReference w:id="68"/>
      </w:r>
      <w:r w:rsidR="00001A30" w:rsidRPr="004A4D63">
        <w:rPr>
          <w:sz w:val="28"/>
          <w:szCs w:val="28"/>
        </w:rPr>
        <w:t xml:space="preserve"> </w:t>
      </w:r>
      <w:r w:rsidR="00C838B5" w:rsidRPr="004A4D63">
        <w:rPr>
          <w:sz w:val="28"/>
          <w:szCs w:val="28"/>
        </w:rPr>
        <w:t xml:space="preserve"> </w:t>
      </w:r>
    </w:p>
    <w:p w14:paraId="70B9E7AE" w14:textId="1A041EF9" w:rsidR="00633613" w:rsidRPr="004A4D63" w:rsidRDefault="00C838B5" w:rsidP="0065383A">
      <w:pPr>
        <w:spacing w:line="480" w:lineRule="auto"/>
        <w:rPr>
          <w:sz w:val="28"/>
          <w:szCs w:val="28"/>
        </w:rPr>
      </w:pPr>
      <w:r w:rsidRPr="004A4D63">
        <w:rPr>
          <w:sz w:val="28"/>
          <w:szCs w:val="28"/>
        </w:rPr>
        <w:lastRenderedPageBreak/>
        <w:tab/>
      </w:r>
      <w:r w:rsidR="00BD517C" w:rsidRPr="004A4D63">
        <w:rPr>
          <w:sz w:val="28"/>
          <w:szCs w:val="28"/>
        </w:rPr>
        <w:t xml:space="preserve">In one important respect, Board members exercise a </w:t>
      </w:r>
      <w:r w:rsidR="0015073D" w:rsidRPr="004A4D63">
        <w:rPr>
          <w:sz w:val="28"/>
          <w:szCs w:val="28"/>
        </w:rPr>
        <w:t xml:space="preserve">prosecutorial function. </w:t>
      </w:r>
      <w:r w:rsidR="00445F46" w:rsidRPr="004A4D63">
        <w:rPr>
          <w:sz w:val="28"/>
          <w:szCs w:val="28"/>
        </w:rPr>
        <w:t xml:space="preserve">Board members </w:t>
      </w:r>
      <w:r w:rsidR="004C30E8" w:rsidRPr="004A4D63">
        <w:rPr>
          <w:sz w:val="28"/>
          <w:szCs w:val="28"/>
        </w:rPr>
        <w:t xml:space="preserve">must greenlight </w:t>
      </w:r>
      <w:r w:rsidR="0043743E" w:rsidRPr="004A4D63">
        <w:rPr>
          <w:sz w:val="28"/>
          <w:szCs w:val="28"/>
        </w:rPr>
        <w:t>the</w:t>
      </w:r>
      <w:r w:rsidR="004C30E8" w:rsidRPr="004A4D63">
        <w:rPr>
          <w:sz w:val="28"/>
          <w:szCs w:val="28"/>
        </w:rPr>
        <w:t xml:space="preserve"> </w:t>
      </w:r>
      <w:r w:rsidR="0043743E" w:rsidRPr="004A4D63">
        <w:rPr>
          <w:sz w:val="28"/>
          <w:szCs w:val="28"/>
        </w:rPr>
        <w:t xml:space="preserve">GC’s recommendation to </w:t>
      </w:r>
      <w:r w:rsidR="00445F46" w:rsidRPr="004A4D63">
        <w:rPr>
          <w:sz w:val="28"/>
          <w:szCs w:val="28"/>
        </w:rPr>
        <w:t xml:space="preserve">engage in litigation to </w:t>
      </w:r>
      <w:r w:rsidR="003121EB" w:rsidRPr="004A4D63">
        <w:rPr>
          <w:sz w:val="28"/>
          <w:szCs w:val="28"/>
        </w:rPr>
        <w:t>seek a temporary injunction in a ULP case</w:t>
      </w:r>
      <w:r w:rsidR="0032492F" w:rsidRPr="004A4D63">
        <w:rPr>
          <w:sz w:val="28"/>
          <w:szCs w:val="28"/>
        </w:rPr>
        <w:t xml:space="preserve"> (so called “10(j) cases</w:t>
      </w:r>
      <w:r w:rsidR="0043743E" w:rsidRPr="004A4D63">
        <w:rPr>
          <w:sz w:val="28"/>
          <w:szCs w:val="28"/>
        </w:rPr>
        <w:t>”</w:t>
      </w:r>
      <w:r w:rsidR="0032492F" w:rsidRPr="004A4D63">
        <w:rPr>
          <w:sz w:val="28"/>
          <w:szCs w:val="28"/>
        </w:rPr>
        <w:t>).</w:t>
      </w:r>
      <w:r w:rsidRPr="004A4D63">
        <w:rPr>
          <w:rStyle w:val="FootnoteReference"/>
          <w:sz w:val="28"/>
          <w:szCs w:val="28"/>
        </w:rPr>
        <w:footnoteReference w:id="69"/>
      </w:r>
      <w:r w:rsidR="0032492F" w:rsidRPr="004A4D63">
        <w:rPr>
          <w:sz w:val="28"/>
          <w:szCs w:val="28"/>
        </w:rPr>
        <w:t xml:space="preserve"> </w:t>
      </w:r>
      <w:r w:rsidR="00BD517C" w:rsidRPr="004A4D63">
        <w:rPr>
          <w:sz w:val="28"/>
          <w:szCs w:val="28"/>
        </w:rPr>
        <w:t>The Board seeks t</w:t>
      </w:r>
      <w:r w:rsidR="0015073D" w:rsidRPr="004A4D63">
        <w:rPr>
          <w:sz w:val="28"/>
          <w:szCs w:val="28"/>
        </w:rPr>
        <w:t xml:space="preserve">emporary injunctions in cases </w:t>
      </w:r>
      <w:r w:rsidR="00BD517C" w:rsidRPr="004A4D63">
        <w:rPr>
          <w:sz w:val="28"/>
          <w:szCs w:val="28"/>
        </w:rPr>
        <w:t xml:space="preserve">of irreparable injury or </w:t>
      </w:r>
      <w:r w:rsidR="0015073D" w:rsidRPr="004A4D63">
        <w:rPr>
          <w:sz w:val="28"/>
          <w:szCs w:val="28"/>
        </w:rPr>
        <w:t xml:space="preserve">where delay would </w:t>
      </w:r>
      <w:r w:rsidR="00445F46" w:rsidRPr="004A4D63">
        <w:rPr>
          <w:sz w:val="28"/>
          <w:szCs w:val="28"/>
        </w:rPr>
        <w:t>impede the efficacy of the Board’s ultimate remedies.</w:t>
      </w:r>
      <w:r w:rsidR="000F06B0" w:rsidRPr="004A4D63">
        <w:rPr>
          <w:rStyle w:val="FootnoteReference"/>
          <w:sz w:val="28"/>
          <w:szCs w:val="28"/>
        </w:rPr>
        <w:footnoteReference w:id="70"/>
      </w:r>
      <w:r w:rsidR="000F06B0" w:rsidRPr="004A4D63">
        <w:rPr>
          <w:sz w:val="28"/>
          <w:szCs w:val="28"/>
        </w:rPr>
        <w:t xml:space="preserve"> </w:t>
      </w:r>
      <w:r w:rsidR="00BD517C" w:rsidRPr="004A4D63">
        <w:rPr>
          <w:sz w:val="28"/>
          <w:szCs w:val="28"/>
        </w:rPr>
        <w:t xml:space="preserve">The Board members make greenlighting decisions in 10(j) cases </w:t>
      </w:r>
      <w:r w:rsidR="00060CD1" w:rsidRPr="004A4D63">
        <w:rPr>
          <w:sz w:val="28"/>
          <w:szCs w:val="28"/>
        </w:rPr>
        <w:t>by notational voting</w:t>
      </w:r>
      <w:r w:rsidR="00BD517C" w:rsidRPr="004A4D63">
        <w:rPr>
          <w:sz w:val="28"/>
          <w:szCs w:val="28"/>
        </w:rPr>
        <w:t xml:space="preserve"> rather than </w:t>
      </w:r>
      <w:r w:rsidR="00060CD1" w:rsidRPr="004A4D63">
        <w:rPr>
          <w:sz w:val="28"/>
          <w:szCs w:val="28"/>
        </w:rPr>
        <w:t xml:space="preserve">in meetings. </w:t>
      </w:r>
      <w:r w:rsidR="003739B7" w:rsidRPr="004A4D63">
        <w:rPr>
          <w:sz w:val="28"/>
          <w:szCs w:val="28"/>
        </w:rPr>
        <w:t xml:space="preserve">The Board </w:t>
      </w:r>
      <w:r w:rsidR="00445F46" w:rsidRPr="004A4D63">
        <w:rPr>
          <w:sz w:val="28"/>
          <w:szCs w:val="28"/>
        </w:rPr>
        <w:t xml:space="preserve">usually </w:t>
      </w:r>
      <w:r w:rsidR="003739B7" w:rsidRPr="004A4D63">
        <w:rPr>
          <w:sz w:val="28"/>
          <w:szCs w:val="28"/>
        </w:rPr>
        <w:t>approves the GC’s recommendation to seek an injunction</w:t>
      </w:r>
      <w:r w:rsidR="006F0132" w:rsidRPr="004A4D63">
        <w:rPr>
          <w:sz w:val="28"/>
          <w:szCs w:val="28"/>
        </w:rPr>
        <w:t>,</w:t>
      </w:r>
      <w:r w:rsidR="003739B7" w:rsidRPr="004A4D63">
        <w:rPr>
          <w:sz w:val="28"/>
          <w:szCs w:val="28"/>
        </w:rPr>
        <w:t xml:space="preserve"> but there are occasional </w:t>
      </w:r>
      <w:r w:rsidR="00445F46" w:rsidRPr="004A4D63">
        <w:rPr>
          <w:sz w:val="28"/>
          <w:szCs w:val="28"/>
        </w:rPr>
        <w:t xml:space="preserve">denials, modifications of the proposed petitions, and </w:t>
      </w:r>
      <w:r w:rsidR="003739B7" w:rsidRPr="004A4D63">
        <w:rPr>
          <w:sz w:val="28"/>
          <w:szCs w:val="28"/>
        </w:rPr>
        <w:t>dissents.</w:t>
      </w:r>
      <w:r w:rsidR="003739B7" w:rsidRPr="004A4D63">
        <w:rPr>
          <w:rStyle w:val="FootnoteReference"/>
          <w:sz w:val="28"/>
          <w:szCs w:val="28"/>
        </w:rPr>
        <w:footnoteReference w:id="71"/>
      </w:r>
      <w:r w:rsidR="003739B7" w:rsidRPr="004A4D63">
        <w:rPr>
          <w:sz w:val="28"/>
          <w:szCs w:val="28"/>
        </w:rPr>
        <w:t xml:space="preserve"> </w:t>
      </w:r>
      <w:r w:rsidR="0043743E" w:rsidRPr="004A4D63">
        <w:rPr>
          <w:sz w:val="28"/>
          <w:szCs w:val="28"/>
        </w:rPr>
        <w:t xml:space="preserve">Board </w:t>
      </w:r>
      <w:r w:rsidR="00FF3AF0" w:rsidRPr="004A4D63">
        <w:rPr>
          <w:sz w:val="28"/>
          <w:szCs w:val="28"/>
        </w:rPr>
        <w:t xml:space="preserve">members </w:t>
      </w:r>
      <w:r w:rsidR="0043743E" w:rsidRPr="004A4D63">
        <w:rPr>
          <w:sz w:val="28"/>
          <w:szCs w:val="28"/>
        </w:rPr>
        <w:t>also ha</w:t>
      </w:r>
      <w:r w:rsidR="00FF3AF0" w:rsidRPr="004A4D63">
        <w:rPr>
          <w:sz w:val="28"/>
          <w:szCs w:val="28"/>
        </w:rPr>
        <w:t xml:space="preserve">ve </w:t>
      </w:r>
      <w:r w:rsidR="00633613" w:rsidRPr="004A4D63">
        <w:rPr>
          <w:sz w:val="28"/>
          <w:szCs w:val="28"/>
        </w:rPr>
        <w:t xml:space="preserve">power </w:t>
      </w:r>
      <w:r w:rsidR="0043743E" w:rsidRPr="004A4D63">
        <w:rPr>
          <w:sz w:val="28"/>
          <w:szCs w:val="28"/>
        </w:rPr>
        <w:t xml:space="preserve">to </w:t>
      </w:r>
      <w:r w:rsidR="00FF3AF0" w:rsidRPr="004A4D63">
        <w:rPr>
          <w:sz w:val="28"/>
          <w:szCs w:val="28"/>
        </w:rPr>
        <w:t xml:space="preserve">review </w:t>
      </w:r>
      <w:r w:rsidR="0043743E" w:rsidRPr="004A4D63">
        <w:rPr>
          <w:sz w:val="28"/>
          <w:szCs w:val="28"/>
        </w:rPr>
        <w:t xml:space="preserve">recommendations </w:t>
      </w:r>
      <w:r w:rsidR="00D533F3" w:rsidRPr="004A4D63">
        <w:rPr>
          <w:sz w:val="28"/>
          <w:szCs w:val="28"/>
        </w:rPr>
        <w:t xml:space="preserve">made by regional </w:t>
      </w:r>
      <w:r w:rsidR="00FF3AF0" w:rsidRPr="004A4D63">
        <w:rPr>
          <w:sz w:val="28"/>
          <w:szCs w:val="28"/>
        </w:rPr>
        <w:t xml:space="preserve">directors </w:t>
      </w:r>
      <w:r w:rsidR="006F0132" w:rsidRPr="004A4D63">
        <w:rPr>
          <w:sz w:val="28"/>
          <w:szCs w:val="28"/>
        </w:rPr>
        <w:t xml:space="preserve">in </w:t>
      </w:r>
      <w:r w:rsidR="0043743E" w:rsidRPr="004A4D63">
        <w:rPr>
          <w:sz w:val="28"/>
          <w:szCs w:val="28"/>
        </w:rPr>
        <w:t>representation case</w:t>
      </w:r>
      <w:r w:rsidR="00CA59F6" w:rsidRPr="004A4D63">
        <w:rPr>
          <w:sz w:val="28"/>
          <w:szCs w:val="28"/>
        </w:rPr>
        <w:t>s</w:t>
      </w:r>
      <w:r w:rsidR="0017752F" w:rsidRPr="004A4D63">
        <w:rPr>
          <w:sz w:val="28"/>
          <w:szCs w:val="28"/>
        </w:rPr>
        <w:t>, such</w:t>
      </w:r>
      <w:r w:rsidR="00633613" w:rsidRPr="004A4D63">
        <w:rPr>
          <w:sz w:val="28"/>
          <w:szCs w:val="28"/>
        </w:rPr>
        <w:t xml:space="preserve"> </w:t>
      </w:r>
      <w:r w:rsidR="0017752F" w:rsidRPr="004A4D63">
        <w:rPr>
          <w:sz w:val="28"/>
          <w:szCs w:val="28"/>
        </w:rPr>
        <w:t>as de</w:t>
      </w:r>
      <w:r w:rsidR="00FF3AF0" w:rsidRPr="004A4D63">
        <w:rPr>
          <w:sz w:val="28"/>
          <w:szCs w:val="28"/>
        </w:rPr>
        <w:t xml:space="preserve">termination </w:t>
      </w:r>
      <w:r w:rsidR="0017752F" w:rsidRPr="004A4D63">
        <w:rPr>
          <w:sz w:val="28"/>
          <w:szCs w:val="28"/>
        </w:rPr>
        <w:t>of appropriate bargaining units</w:t>
      </w:r>
      <w:r w:rsidR="00BD517C" w:rsidRPr="004A4D63">
        <w:rPr>
          <w:sz w:val="28"/>
          <w:szCs w:val="28"/>
        </w:rPr>
        <w:t xml:space="preserve">, but such cases re not considered </w:t>
      </w:r>
      <w:r w:rsidR="0017752F" w:rsidRPr="004A4D63">
        <w:rPr>
          <w:sz w:val="28"/>
          <w:szCs w:val="28"/>
        </w:rPr>
        <w:t>prosecutorial</w:t>
      </w:r>
      <w:r w:rsidR="00BD517C" w:rsidRPr="004A4D63">
        <w:rPr>
          <w:sz w:val="28"/>
          <w:szCs w:val="28"/>
        </w:rPr>
        <w:t>.</w:t>
      </w:r>
      <w:r w:rsidR="0017752F" w:rsidRPr="004A4D63">
        <w:rPr>
          <w:sz w:val="28"/>
          <w:szCs w:val="28"/>
        </w:rPr>
        <w:t xml:space="preserve"> </w:t>
      </w:r>
    </w:p>
    <w:p w14:paraId="14A1F474" w14:textId="6EA2E478" w:rsidR="0091495C" w:rsidRPr="004A4D63" w:rsidRDefault="00633613" w:rsidP="0065383A">
      <w:pPr>
        <w:spacing w:line="480" w:lineRule="auto"/>
        <w:rPr>
          <w:sz w:val="28"/>
          <w:szCs w:val="28"/>
        </w:rPr>
      </w:pPr>
      <w:r w:rsidRPr="004A4D63">
        <w:rPr>
          <w:sz w:val="28"/>
          <w:szCs w:val="28"/>
        </w:rPr>
        <w:tab/>
        <w:t xml:space="preserve">In addition to control over charging decisions, the GC </w:t>
      </w:r>
      <w:r w:rsidR="00FF3AF0" w:rsidRPr="004A4D63">
        <w:rPr>
          <w:sz w:val="28"/>
          <w:szCs w:val="28"/>
        </w:rPr>
        <w:t xml:space="preserve">manages </w:t>
      </w:r>
      <w:r w:rsidR="00F358DA" w:rsidRPr="004A4D63">
        <w:rPr>
          <w:sz w:val="28"/>
          <w:szCs w:val="28"/>
        </w:rPr>
        <w:t>the agency’s staff as well as its litigation function.</w:t>
      </w:r>
      <w:r w:rsidR="00CA59F6" w:rsidRPr="004A4D63">
        <w:rPr>
          <w:sz w:val="28"/>
          <w:szCs w:val="28"/>
        </w:rPr>
        <w:t xml:space="preserve"> </w:t>
      </w:r>
      <w:r w:rsidRPr="004A4D63">
        <w:rPr>
          <w:sz w:val="28"/>
          <w:szCs w:val="28"/>
        </w:rPr>
        <w:t xml:space="preserve">Federal court litigation is extensive </w:t>
      </w:r>
      <w:r w:rsidR="00FF3AF0" w:rsidRPr="004A4D63">
        <w:rPr>
          <w:sz w:val="28"/>
          <w:szCs w:val="28"/>
        </w:rPr>
        <w:t xml:space="preserve">because </w:t>
      </w:r>
      <w:r w:rsidRPr="004A4D63">
        <w:rPr>
          <w:sz w:val="28"/>
          <w:szCs w:val="28"/>
        </w:rPr>
        <w:t xml:space="preserve">the Board </w:t>
      </w:r>
      <w:r w:rsidR="00A867A6" w:rsidRPr="004A4D63">
        <w:rPr>
          <w:sz w:val="28"/>
          <w:szCs w:val="28"/>
        </w:rPr>
        <w:t xml:space="preserve">must </w:t>
      </w:r>
      <w:r w:rsidRPr="004A4D63">
        <w:rPr>
          <w:sz w:val="28"/>
          <w:szCs w:val="28"/>
        </w:rPr>
        <w:t>enforce its orders in court</w:t>
      </w:r>
      <w:r w:rsidR="00D533F3" w:rsidRPr="004A4D63">
        <w:rPr>
          <w:sz w:val="28"/>
          <w:szCs w:val="28"/>
        </w:rPr>
        <w:t xml:space="preserve">, seek injunctions, </w:t>
      </w:r>
      <w:r w:rsidRPr="004A4D63">
        <w:rPr>
          <w:sz w:val="28"/>
          <w:szCs w:val="28"/>
        </w:rPr>
        <w:t>enforce subpoenas</w:t>
      </w:r>
      <w:r w:rsidR="00D533F3" w:rsidRPr="004A4D63">
        <w:rPr>
          <w:sz w:val="28"/>
          <w:szCs w:val="28"/>
        </w:rPr>
        <w:t xml:space="preserve"> and engage in numerous other litigation matters.</w:t>
      </w:r>
      <w:r w:rsidRPr="004A4D63">
        <w:rPr>
          <w:sz w:val="28"/>
          <w:szCs w:val="28"/>
        </w:rPr>
        <w:t xml:space="preserve">  </w:t>
      </w:r>
    </w:p>
    <w:p w14:paraId="164EA72B" w14:textId="68692801" w:rsidR="00D7532E" w:rsidRPr="004A4D63" w:rsidRDefault="0091495C" w:rsidP="0065383A">
      <w:pPr>
        <w:spacing w:line="480" w:lineRule="auto"/>
        <w:rPr>
          <w:sz w:val="28"/>
          <w:szCs w:val="28"/>
        </w:rPr>
      </w:pPr>
      <w:r w:rsidRPr="004A4D63">
        <w:rPr>
          <w:sz w:val="28"/>
          <w:szCs w:val="28"/>
        </w:rPr>
        <w:tab/>
      </w:r>
      <w:r w:rsidR="00001A30" w:rsidRPr="004A4D63">
        <w:rPr>
          <w:sz w:val="28"/>
          <w:szCs w:val="28"/>
        </w:rPr>
        <w:t>The NLRB prosecutorial process begins when a</w:t>
      </w:r>
      <w:r w:rsidR="006F0132" w:rsidRPr="004A4D63">
        <w:rPr>
          <w:sz w:val="28"/>
          <w:szCs w:val="28"/>
        </w:rPr>
        <w:t>n</w:t>
      </w:r>
      <w:r w:rsidR="00001A30" w:rsidRPr="004A4D63">
        <w:rPr>
          <w:sz w:val="28"/>
          <w:szCs w:val="28"/>
        </w:rPr>
        <w:t xml:space="preserve"> </w:t>
      </w:r>
      <w:r w:rsidR="006F0132" w:rsidRPr="004A4D63">
        <w:rPr>
          <w:sz w:val="28"/>
          <w:szCs w:val="28"/>
        </w:rPr>
        <w:t xml:space="preserve">outside </w:t>
      </w:r>
      <w:r w:rsidR="00001A30" w:rsidRPr="004A4D63">
        <w:rPr>
          <w:sz w:val="28"/>
          <w:szCs w:val="28"/>
        </w:rPr>
        <w:t>party</w:t>
      </w:r>
      <w:r w:rsidR="006F0132" w:rsidRPr="004A4D63">
        <w:rPr>
          <w:sz w:val="28"/>
          <w:szCs w:val="28"/>
        </w:rPr>
        <w:t xml:space="preserve"> (</w:t>
      </w:r>
      <w:r w:rsidR="00F60444" w:rsidRPr="004A4D63">
        <w:rPr>
          <w:sz w:val="28"/>
          <w:szCs w:val="28"/>
        </w:rPr>
        <w:t xml:space="preserve">either </w:t>
      </w:r>
      <w:r w:rsidR="00534069" w:rsidRPr="004A4D63">
        <w:rPr>
          <w:sz w:val="28"/>
          <w:szCs w:val="28"/>
        </w:rPr>
        <w:t xml:space="preserve">an </w:t>
      </w:r>
      <w:r w:rsidR="006F0132" w:rsidRPr="004A4D63">
        <w:rPr>
          <w:sz w:val="28"/>
          <w:szCs w:val="28"/>
        </w:rPr>
        <w:t>employer</w:t>
      </w:r>
      <w:r w:rsidR="00FF3AF0" w:rsidRPr="004A4D63">
        <w:rPr>
          <w:sz w:val="28"/>
          <w:szCs w:val="28"/>
        </w:rPr>
        <w:t>,</w:t>
      </w:r>
      <w:r w:rsidR="006F0132" w:rsidRPr="004A4D63">
        <w:rPr>
          <w:sz w:val="28"/>
          <w:szCs w:val="28"/>
        </w:rPr>
        <w:t xml:space="preserve"> </w:t>
      </w:r>
      <w:r w:rsidR="00534069" w:rsidRPr="004A4D63">
        <w:rPr>
          <w:sz w:val="28"/>
          <w:szCs w:val="28"/>
        </w:rPr>
        <w:t xml:space="preserve">a </w:t>
      </w:r>
      <w:r w:rsidR="006F0132" w:rsidRPr="004A4D63">
        <w:rPr>
          <w:sz w:val="28"/>
          <w:szCs w:val="28"/>
        </w:rPr>
        <w:t>union</w:t>
      </w:r>
      <w:r w:rsidR="00FF3AF0" w:rsidRPr="004A4D63">
        <w:rPr>
          <w:sz w:val="28"/>
          <w:szCs w:val="28"/>
        </w:rPr>
        <w:t xml:space="preserve"> or an individual </w:t>
      </w:r>
      <w:r w:rsidR="006F0132" w:rsidRPr="004A4D63">
        <w:rPr>
          <w:sz w:val="28"/>
          <w:szCs w:val="28"/>
        </w:rPr>
        <w:t>) f</w:t>
      </w:r>
      <w:r w:rsidR="00001A30" w:rsidRPr="004A4D63">
        <w:rPr>
          <w:sz w:val="28"/>
          <w:szCs w:val="28"/>
        </w:rPr>
        <w:t>iles a</w:t>
      </w:r>
      <w:r w:rsidR="0043743E" w:rsidRPr="004A4D63">
        <w:rPr>
          <w:sz w:val="28"/>
          <w:szCs w:val="28"/>
        </w:rPr>
        <w:t xml:space="preserve"> ULP</w:t>
      </w:r>
      <w:r w:rsidR="00001A30" w:rsidRPr="004A4D63">
        <w:rPr>
          <w:sz w:val="28"/>
          <w:szCs w:val="28"/>
        </w:rPr>
        <w:t xml:space="preserve"> “charge” with a</w:t>
      </w:r>
      <w:r w:rsidR="006F0132" w:rsidRPr="004A4D63">
        <w:rPr>
          <w:sz w:val="28"/>
          <w:szCs w:val="28"/>
        </w:rPr>
        <w:t xml:space="preserve"> regional office (RO)</w:t>
      </w:r>
      <w:r w:rsidR="00534069" w:rsidRPr="004A4D63">
        <w:rPr>
          <w:sz w:val="28"/>
          <w:szCs w:val="28"/>
        </w:rPr>
        <w:t>.</w:t>
      </w:r>
      <w:r w:rsidR="006473C7" w:rsidRPr="004A4D63">
        <w:rPr>
          <w:sz w:val="28"/>
          <w:szCs w:val="28"/>
        </w:rPr>
        <w:t xml:space="preserve"> </w:t>
      </w:r>
      <w:r w:rsidR="00A6405B" w:rsidRPr="004A4D63">
        <w:rPr>
          <w:sz w:val="28"/>
          <w:szCs w:val="28"/>
        </w:rPr>
        <w:t xml:space="preserve">The RO affords the </w:t>
      </w:r>
      <w:r w:rsidR="00FF3AF0" w:rsidRPr="004A4D63">
        <w:rPr>
          <w:sz w:val="28"/>
          <w:szCs w:val="28"/>
        </w:rPr>
        <w:t xml:space="preserve">charged party </w:t>
      </w:r>
      <w:r w:rsidR="00A6405B" w:rsidRPr="004A4D63">
        <w:rPr>
          <w:sz w:val="28"/>
          <w:szCs w:val="28"/>
        </w:rPr>
        <w:t>an opportunity to f</w:t>
      </w:r>
      <w:r w:rsidR="0032345D" w:rsidRPr="004A4D63">
        <w:rPr>
          <w:sz w:val="28"/>
          <w:szCs w:val="28"/>
        </w:rPr>
        <w:t>i</w:t>
      </w:r>
      <w:r w:rsidR="00A6405B" w:rsidRPr="004A4D63">
        <w:rPr>
          <w:sz w:val="28"/>
          <w:szCs w:val="28"/>
        </w:rPr>
        <w:t xml:space="preserve">le a position statement </w:t>
      </w:r>
      <w:r w:rsidR="00A6405B" w:rsidRPr="004A4D63">
        <w:rPr>
          <w:sz w:val="28"/>
          <w:szCs w:val="28"/>
        </w:rPr>
        <w:lastRenderedPageBreak/>
        <w:t xml:space="preserve">setting forth its version of the case. </w:t>
      </w:r>
      <w:r w:rsidR="00F358DA" w:rsidRPr="004A4D63">
        <w:rPr>
          <w:sz w:val="28"/>
          <w:szCs w:val="28"/>
        </w:rPr>
        <w:t>NLRB regional directors make the i</w:t>
      </w:r>
      <w:r w:rsidRPr="004A4D63">
        <w:rPr>
          <w:sz w:val="28"/>
          <w:szCs w:val="28"/>
        </w:rPr>
        <w:t>nitial charging decisions</w:t>
      </w:r>
      <w:r w:rsidR="00F358DA" w:rsidRPr="004A4D63">
        <w:rPr>
          <w:sz w:val="28"/>
          <w:szCs w:val="28"/>
        </w:rPr>
        <w:t>.</w:t>
      </w:r>
      <w:r w:rsidRPr="004A4D63">
        <w:rPr>
          <w:sz w:val="28"/>
          <w:szCs w:val="28"/>
        </w:rPr>
        <w:t xml:space="preserve"> </w:t>
      </w:r>
    </w:p>
    <w:p w14:paraId="39B30046" w14:textId="5489862C" w:rsidR="002A5B3A" w:rsidRPr="004A4D63" w:rsidRDefault="00D7532E" w:rsidP="0065383A">
      <w:pPr>
        <w:spacing w:line="480" w:lineRule="auto"/>
        <w:rPr>
          <w:sz w:val="28"/>
          <w:szCs w:val="28"/>
        </w:rPr>
      </w:pPr>
      <w:r w:rsidRPr="004A4D63">
        <w:rPr>
          <w:sz w:val="28"/>
          <w:szCs w:val="28"/>
        </w:rPr>
        <w:tab/>
      </w:r>
      <w:r w:rsidR="0009171D" w:rsidRPr="004A4D63">
        <w:rPr>
          <w:sz w:val="28"/>
          <w:szCs w:val="28"/>
        </w:rPr>
        <w:t xml:space="preserve">During the investigation process, the </w:t>
      </w:r>
      <w:r w:rsidR="00FF3AF0" w:rsidRPr="004A4D63">
        <w:rPr>
          <w:sz w:val="28"/>
          <w:szCs w:val="28"/>
        </w:rPr>
        <w:t xml:space="preserve">charged party </w:t>
      </w:r>
      <w:r w:rsidR="0009171D" w:rsidRPr="004A4D63">
        <w:rPr>
          <w:sz w:val="28"/>
          <w:szCs w:val="28"/>
        </w:rPr>
        <w:t xml:space="preserve">has </w:t>
      </w:r>
      <w:r w:rsidR="00001A30" w:rsidRPr="004A4D63">
        <w:rPr>
          <w:sz w:val="28"/>
          <w:szCs w:val="28"/>
        </w:rPr>
        <w:t xml:space="preserve">informal </w:t>
      </w:r>
      <w:r w:rsidR="0009171D" w:rsidRPr="004A4D63">
        <w:rPr>
          <w:sz w:val="28"/>
          <w:szCs w:val="28"/>
        </w:rPr>
        <w:t>opportunities to influence the charging decision</w:t>
      </w:r>
      <w:r w:rsidR="00001A30" w:rsidRPr="004A4D63">
        <w:rPr>
          <w:sz w:val="28"/>
          <w:szCs w:val="28"/>
        </w:rPr>
        <w:t xml:space="preserve"> through meetings with </w:t>
      </w:r>
      <w:r w:rsidR="006F0132" w:rsidRPr="004A4D63">
        <w:rPr>
          <w:sz w:val="28"/>
          <w:szCs w:val="28"/>
        </w:rPr>
        <w:t xml:space="preserve">RO </w:t>
      </w:r>
      <w:r w:rsidR="00001A30" w:rsidRPr="004A4D63">
        <w:rPr>
          <w:sz w:val="28"/>
          <w:szCs w:val="28"/>
        </w:rPr>
        <w:t>investigators</w:t>
      </w:r>
      <w:r w:rsidR="006F0132" w:rsidRPr="004A4D63">
        <w:rPr>
          <w:sz w:val="28"/>
          <w:szCs w:val="28"/>
        </w:rPr>
        <w:t>.</w:t>
      </w:r>
      <w:r w:rsidR="00E71B56" w:rsidRPr="004A4D63">
        <w:rPr>
          <w:rStyle w:val="FootnoteReference"/>
          <w:sz w:val="28"/>
          <w:szCs w:val="28"/>
        </w:rPr>
        <w:footnoteReference w:id="72"/>
      </w:r>
      <w:r w:rsidR="00001A30" w:rsidRPr="004A4D63">
        <w:rPr>
          <w:sz w:val="28"/>
          <w:szCs w:val="28"/>
        </w:rPr>
        <w:t xml:space="preserve"> </w:t>
      </w:r>
      <w:r w:rsidR="00F60444" w:rsidRPr="004A4D63">
        <w:rPr>
          <w:sz w:val="28"/>
          <w:szCs w:val="28"/>
        </w:rPr>
        <w:t>If the regional director declines to issue a complaint, the charging party can appeal to the</w:t>
      </w:r>
      <w:r w:rsidR="00FF3AF0" w:rsidRPr="004A4D63">
        <w:rPr>
          <w:sz w:val="28"/>
          <w:szCs w:val="28"/>
        </w:rPr>
        <w:t xml:space="preserve"> Office of Appeals, which is a review </w:t>
      </w:r>
      <w:r w:rsidR="00F60444" w:rsidRPr="004A4D63">
        <w:rPr>
          <w:sz w:val="28"/>
          <w:szCs w:val="28"/>
        </w:rPr>
        <w:t>section of the GC’s office.</w:t>
      </w:r>
      <w:r w:rsidR="00F60444" w:rsidRPr="004A4D63">
        <w:rPr>
          <w:rStyle w:val="FootnoteReference"/>
          <w:sz w:val="28"/>
          <w:szCs w:val="28"/>
        </w:rPr>
        <w:footnoteReference w:id="73"/>
      </w:r>
      <w:r w:rsidR="00F60444" w:rsidRPr="004A4D63">
        <w:rPr>
          <w:sz w:val="28"/>
          <w:szCs w:val="28"/>
        </w:rPr>
        <w:t xml:space="preserve"> </w:t>
      </w:r>
      <w:r w:rsidR="00001A30" w:rsidRPr="004A4D63">
        <w:rPr>
          <w:sz w:val="28"/>
          <w:szCs w:val="28"/>
        </w:rPr>
        <w:t xml:space="preserve">In cases involving unsettled legal issues, the regional director </w:t>
      </w:r>
      <w:r w:rsidR="007B4AF0" w:rsidRPr="004A4D63">
        <w:rPr>
          <w:sz w:val="28"/>
          <w:szCs w:val="28"/>
        </w:rPr>
        <w:t xml:space="preserve">may </w:t>
      </w:r>
      <w:r w:rsidR="00001A30" w:rsidRPr="004A4D63">
        <w:rPr>
          <w:sz w:val="28"/>
          <w:szCs w:val="28"/>
        </w:rPr>
        <w:t>seek advice from the G</w:t>
      </w:r>
      <w:r w:rsidR="0043743E" w:rsidRPr="004A4D63">
        <w:rPr>
          <w:sz w:val="28"/>
          <w:szCs w:val="28"/>
        </w:rPr>
        <w:t>C</w:t>
      </w:r>
      <w:r w:rsidR="007B4AF0" w:rsidRPr="004A4D63">
        <w:rPr>
          <w:sz w:val="28"/>
          <w:szCs w:val="28"/>
        </w:rPr>
        <w:t xml:space="preserve">’s </w:t>
      </w:r>
      <w:r w:rsidR="00047577" w:rsidRPr="004A4D63">
        <w:rPr>
          <w:sz w:val="28"/>
          <w:szCs w:val="28"/>
        </w:rPr>
        <w:t xml:space="preserve">Division of </w:t>
      </w:r>
      <w:r w:rsidR="006473C7" w:rsidRPr="004A4D63">
        <w:rPr>
          <w:sz w:val="28"/>
          <w:szCs w:val="28"/>
        </w:rPr>
        <w:t>A</w:t>
      </w:r>
      <w:r w:rsidR="007B4AF0" w:rsidRPr="004A4D63">
        <w:rPr>
          <w:sz w:val="28"/>
          <w:szCs w:val="28"/>
        </w:rPr>
        <w:t>dvice</w:t>
      </w:r>
      <w:r w:rsidR="00047577" w:rsidRPr="004A4D63">
        <w:rPr>
          <w:sz w:val="28"/>
          <w:szCs w:val="28"/>
        </w:rPr>
        <w:t>.</w:t>
      </w:r>
      <w:r w:rsidR="007B4AF0" w:rsidRPr="004A4D63">
        <w:rPr>
          <w:sz w:val="28"/>
          <w:szCs w:val="28"/>
        </w:rPr>
        <w:t xml:space="preserve"> D</w:t>
      </w:r>
      <w:r w:rsidR="00001A30" w:rsidRPr="004A4D63">
        <w:rPr>
          <w:sz w:val="28"/>
          <w:szCs w:val="28"/>
        </w:rPr>
        <w:t>uring th</w:t>
      </w:r>
      <w:r w:rsidR="00F60444" w:rsidRPr="004A4D63">
        <w:rPr>
          <w:sz w:val="28"/>
          <w:szCs w:val="28"/>
        </w:rPr>
        <w:t>e</w:t>
      </w:r>
      <w:r w:rsidR="00001A30" w:rsidRPr="004A4D63">
        <w:rPr>
          <w:sz w:val="28"/>
          <w:szCs w:val="28"/>
        </w:rPr>
        <w:t xml:space="preserve"> </w:t>
      </w:r>
      <w:r w:rsidR="00F60444" w:rsidRPr="004A4D63">
        <w:rPr>
          <w:sz w:val="28"/>
          <w:szCs w:val="28"/>
        </w:rPr>
        <w:t xml:space="preserve">advice-giving </w:t>
      </w:r>
      <w:r w:rsidR="00001A30" w:rsidRPr="004A4D63">
        <w:rPr>
          <w:sz w:val="28"/>
          <w:szCs w:val="28"/>
        </w:rPr>
        <w:t>process</w:t>
      </w:r>
      <w:r w:rsidR="006F0132" w:rsidRPr="004A4D63">
        <w:rPr>
          <w:sz w:val="28"/>
          <w:szCs w:val="28"/>
        </w:rPr>
        <w:t>,</w:t>
      </w:r>
      <w:r w:rsidR="00001A30" w:rsidRPr="004A4D63">
        <w:rPr>
          <w:sz w:val="28"/>
          <w:szCs w:val="28"/>
        </w:rPr>
        <w:t xml:space="preserve"> the target has an opportunity to file a brief</w:t>
      </w:r>
      <w:r w:rsidR="00FC72C2" w:rsidRPr="004A4D63">
        <w:rPr>
          <w:sz w:val="28"/>
          <w:szCs w:val="28"/>
        </w:rPr>
        <w:t xml:space="preserve"> and argue its position</w:t>
      </w:r>
      <w:r w:rsidR="00001A30" w:rsidRPr="004A4D63">
        <w:rPr>
          <w:sz w:val="28"/>
          <w:szCs w:val="28"/>
        </w:rPr>
        <w:t xml:space="preserve">. </w:t>
      </w:r>
    </w:p>
    <w:p w14:paraId="43FECC3D" w14:textId="27B349A9" w:rsidR="0083751E" w:rsidRPr="004A4D63" w:rsidRDefault="002A5B3A" w:rsidP="0065383A">
      <w:pPr>
        <w:spacing w:line="480" w:lineRule="auto"/>
        <w:rPr>
          <w:sz w:val="28"/>
          <w:szCs w:val="28"/>
        </w:rPr>
      </w:pPr>
      <w:r w:rsidRPr="004A4D63">
        <w:rPr>
          <w:sz w:val="28"/>
          <w:szCs w:val="28"/>
        </w:rPr>
        <w:tab/>
      </w:r>
      <w:r w:rsidR="00763D79" w:rsidRPr="004A4D63">
        <w:rPr>
          <w:sz w:val="28"/>
          <w:szCs w:val="28"/>
        </w:rPr>
        <w:t>During FY 202</w:t>
      </w:r>
      <w:r w:rsidR="00F60444" w:rsidRPr="004A4D63">
        <w:rPr>
          <w:sz w:val="28"/>
          <w:szCs w:val="28"/>
        </w:rPr>
        <w:t>1</w:t>
      </w:r>
      <w:r w:rsidR="00763D79" w:rsidRPr="004A4D63">
        <w:rPr>
          <w:sz w:val="28"/>
          <w:szCs w:val="28"/>
        </w:rPr>
        <w:t>, the Board received 15,</w:t>
      </w:r>
      <w:r w:rsidR="00F60444" w:rsidRPr="004A4D63">
        <w:rPr>
          <w:sz w:val="28"/>
          <w:szCs w:val="28"/>
        </w:rPr>
        <w:t>081</w:t>
      </w:r>
      <w:r w:rsidR="00763D79" w:rsidRPr="004A4D63">
        <w:rPr>
          <w:sz w:val="28"/>
          <w:szCs w:val="28"/>
        </w:rPr>
        <w:t xml:space="preserve"> ULP charges.</w:t>
      </w:r>
      <w:r w:rsidR="00731E8D" w:rsidRPr="004A4D63">
        <w:rPr>
          <w:sz w:val="28"/>
          <w:szCs w:val="28"/>
        </w:rPr>
        <w:t xml:space="preserve"> About one-third were found to have merit.</w:t>
      </w:r>
      <w:r w:rsidR="00763D79" w:rsidRPr="004A4D63">
        <w:rPr>
          <w:rStyle w:val="FootnoteReference"/>
          <w:sz w:val="28"/>
          <w:szCs w:val="28"/>
        </w:rPr>
        <w:footnoteReference w:id="74"/>
      </w:r>
      <w:r w:rsidR="00731E8D" w:rsidRPr="004A4D63">
        <w:rPr>
          <w:sz w:val="28"/>
          <w:szCs w:val="28"/>
        </w:rPr>
        <w:t xml:space="preserve"> </w:t>
      </w:r>
      <w:r w:rsidR="0043743E" w:rsidRPr="004A4D63">
        <w:rPr>
          <w:sz w:val="28"/>
          <w:szCs w:val="28"/>
        </w:rPr>
        <w:t>R</w:t>
      </w:r>
      <w:r w:rsidR="00001A30" w:rsidRPr="004A4D63">
        <w:rPr>
          <w:sz w:val="28"/>
          <w:szCs w:val="28"/>
        </w:rPr>
        <w:t xml:space="preserve">egional offices </w:t>
      </w:r>
      <w:r w:rsidR="00731E8D" w:rsidRPr="004A4D63">
        <w:rPr>
          <w:sz w:val="28"/>
          <w:szCs w:val="28"/>
        </w:rPr>
        <w:t xml:space="preserve">issued </w:t>
      </w:r>
      <w:r w:rsidR="00F60444" w:rsidRPr="004A4D63">
        <w:rPr>
          <w:sz w:val="28"/>
          <w:szCs w:val="28"/>
        </w:rPr>
        <w:t>678</w:t>
      </w:r>
      <w:r w:rsidR="00731E8D" w:rsidRPr="004A4D63">
        <w:rPr>
          <w:sz w:val="28"/>
          <w:szCs w:val="28"/>
        </w:rPr>
        <w:t xml:space="preserve"> complaints</w:t>
      </w:r>
      <w:r w:rsidR="0043743E" w:rsidRPr="004A4D63">
        <w:rPr>
          <w:sz w:val="28"/>
          <w:szCs w:val="28"/>
        </w:rPr>
        <w:t>.</w:t>
      </w:r>
      <w:r w:rsidR="00731E8D" w:rsidRPr="004A4D63">
        <w:rPr>
          <w:sz w:val="28"/>
          <w:szCs w:val="28"/>
        </w:rPr>
        <w:t xml:space="preserve"> The Board sought </w:t>
      </w:r>
      <w:r w:rsidR="00F358DA" w:rsidRPr="004A4D63">
        <w:rPr>
          <w:sz w:val="28"/>
          <w:szCs w:val="28"/>
        </w:rPr>
        <w:t xml:space="preserve">10(j) </w:t>
      </w:r>
      <w:r w:rsidR="00731E8D" w:rsidRPr="004A4D63">
        <w:rPr>
          <w:sz w:val="28"/>
          <w:szCs w:val="28"/>
        </w:rPr>
        <w:t>temporary injunctions</w:t>
      </w:r>
      <w:r w:rsidR="00600BCC" w:rsidRPr="004A4D63">
        <w:rPr>
          <w:sz w:val="28"/>
          <w:szCs w:val="28"/>
        </w:rPr>
        <w:t xml:space="preserve"> </w:t>
      </w:r>
      <w:r w:rsidR="00731E8D" w:rsidRPr="004A4D63">
        <w:rPr>
          <w:sz w:val="28"/>
          <w:szCs w:val="28"/>
        </w:rPr>
        <w:t xml:space="preserve">in </w:t>
      </w:r>
      <w:r w:rsidR="00F60444" w:rsidRPr="004A4D63">
        <w:rPr>
          <w:sz w:val="28"/>
          <w:szCs w:val="28"/>
        </w:rPr>
        <w:t xml:space="preserve">nine </w:t>
      </w:r>
      <w:r w:rsidR="00731E8D" w:rsidRPr="004A4D63">
        <w:rPr>
          <w:sz w:val="28"/>
          <w:szCs w:val="28"/>
        </w:rPr>
        <w:t>cases</w:t>
      </w:r>
      <w:r w:rsidR="006417E5" w:rsidRPr="004A4D63">
        <w:rPr>
          <w:sz w:val="28"/>
          <w:szCs w:val="28"/>
        </w:rPr>
        <w:t>.</w:t>
      </w:r>
      <w:r w:rsidR="00731E8D" w:rsidRPr="004A4D63">
        <w:rPr>
          <w:sz w:val="28"/>
          <w:szCs w:val="28"/>
        </w:rPr>
        <w:t xml:space="preserve"> </w:t>
      </w:r>
      <w:r w:rsidR="00763D79" w:rsidRPr="004A4D63">
        <w:rPr>
          <w:sz w:val="28"/>
          <w:szCs w:val="28"/>
        </w:rPr>
        <w:t xml:space="preserve">The Board </w:t>
      </w:r>
      <w:r w:rsidR="000D4DA6" w:rsidRPr="004A4D63">
        <w:rPr>
          <w:sz w:val="28"/>
          <w:szCs w:val="28"/>
        </w:rPr>
        <w:t xml:space="preserve">issued </w:t>
      </w:r>
      <w:r w:rsidR="00F60444" w:rsidRPr="004A4D63">
        <w:rPr>
          <w:sz w:val="28"/>
          <w:szCs w:val="28"/>
        </w:rPr>
        <w:t xml:space="preserve">136 </w:t>
      </w:r>
      <w:r w:rsidR="000D4DA6" w:rsidRPr="004A4D63">
        <w:rPr>
          <w:sz w:val="28"/>
          <w:szCs w:val="28"/>
        </w:rPr>
        <w:t xml:space="preserve">decisions in contested </w:t>
      </w:r>
      <w:r w:rsidR="00763D79" w:rsidRPr="004A4D63">
        <w:rPr>
          <w:sz w:val="28"/>
          <w:szCs w:val="28"/>
        </w:rPr>
        <w:t xml:space="preserve">ULP cases. </w:t>
      </w:r>
      <w:r w:rsidR="0043743E" w:rsidRPr="004A4D63">
        <w:rPr>
          <w:sz w:val="28"/>
          <w:szCs w:val="28"/>
        </w:rPr>
        <w:t>T</w:t>
      </w:r>
      <w:r w:rsidR="006417E5" w:rsidRPr="004A4D63">
        <w:rPr>
          <w:sz w:val="28"/>
          <w:szCs w:val="28"/>
        </w:rPr>
        <w:t xml:space="preserve">hese figures were depressed by the </w:t>
      </w:r>
      <w:r w:rsidR="0043743E" w:rsidRPr="004A4D63">
        <w:rPr>
          <w:sz w:val="28"/>
          <w:szCs w:val="28"/>
        </w:rPr>
        <w:t xml:space="preserve">COVID </w:t>
      </w:r>
      <w:r w:rsidR="006417E5" w:rsidRPr="004A4D63">
        <w:rPr>
          <w:sz w:val="28"/>
          <w:szCs w:val="28"/>
        </w:rPr>
        <w:t>pandemic</w:t>
      </w:r>
      <w:r w:rsidR="000D4DA6" w:rsidRPr="004A4D63">
        <w:rPr>
          <w:sz w:val="28"/>
          <w:szCs w:val="28"/>
        </w:rPr>
        <w:t>.</w:t>
      </w:r>
      <w:r w:rsidR="007B4AF0" w:rsidRPr="004A4D63">
        <w:rPr>
          <w:sz w:val="28"/>
          <w:szCs w:val="28"/>
        </w:rPr>
        <w:t xml:space="preserve"> The </w:t>
      </w:r>
      <w:r w:rsidR="006417E5" w:rsidRPr="004A4D63">
        <w:rPr>
          <w:sz w:val="28"/>
          <w:szCs w:val="28"/>
        </w:rPr>
        <w:t>figures from earlier years are considerably higher.</w:t>
      </w:r>
      <w:r w:rsidR="006417E5" w:rsidRPr="004A4D63">
        <w:rPr>
          <w:rStyle w:val="FootnoteReference"/>
          <w:sz w:val="28"/>
          <w:szCs w:val="28"/>
        </w:rPr>
        <w:footnoteReference w:id="75"/>
      </w:r>
      <w:r w:rsidR="006417E5" w:rsidRPr="004A4D63">
        <w:rPr>
          <w:sz w:val="28"/>
          <w:szCs w:val="28"/>
        </w:rPr>
        <w:t xml:space="preserve"> </w:t>
      </w:r>
      <w:r w:rsidR="00763D79" w:rsidRPr="004A4D63">
        <w:rPr>
          <w:sz w:val="28"/>
          <w:szCs w:val="28"/>
        </w:rPr>
        <w:t xml:space="preserve">Well over 90% </w:t>
      </w:r>
      <w:r w:rsidRPr="004A4D63">
        <w:rPr>
          <w:sz w:val="28"/>
          <w:szCs w:val="28"/>
        </w:rPr>
        <w:t xml:space="preserve">of the </w:t>
      </w:r>
      <w:r w:rsidR="00763D79" w:rsidRPr="004A4D63">
        <w:rPr>
          <w:sz w:val="28"/>
          <w:szCs w:val="28"/>
        </w:rPr>
        <w:lastRenderedPageBreak/>
        <w:t xml:space="preserve">NLRB’s </w:t>
      </w:r>
      <w:r w:rsidRPr="004A4D63">
        <w:rPr>
          <w:sz w:val="28"/>
          <w:szCs w:val="28"/>
        </w:rPr>
        <w:t>cases settle</w:t>
      </w:r>
      <w:r w:rsidR="006473C7" w:rsidRPr="004A4D63">
        <w:rPr>
          <w:sz w:val="28"/>
          <w:szCs w:val="28"/>
        </w:rPr>
        <w:t xml:space="preserve"> after </w:t>
      </w:r>
      <w:r w:rsidR="00731E8D" w:rsidRPr="004A4D63">
        <w:rPr>
          <w:sz w:val="28"/>
          <w:szCs w:val="28"/>
        </w:rPr>
        <w:t>issuance of a complaint</w:t>
      </w:r>
      <w:r w:rsidR="006473C7" w:rsidRPr="004A4D63">
        <w:rPr>
          <w:sz w:val="28"/>
          <w:szCs w:val="28"/>
        </w:rPr>
        <w:t>.</w:t>
      </w:r>
      <w:r w:rsidR="007B4AF0" w:rsidRPr="004A4D63">
        <w:rPr>
          <w:rStyle w:val="FootnoteReference"/>
          <w:sz w:val="28"/>
          <w:szCs w:val="28"/>
        </w:rPr>
        <w:footnoteReference w:id="76"/>
      </w:r>
      <w:r w:rsidR="00731E8D" w:rsidRPr="004A4D63">
        <w:rPr>
          <w:sz w:val="28"/>
          <w:szCs w:val="28"/>
        </w:rPr>
        <w:t xml:space="preserve"> </w:t>
      </w:r>
      <w:r w:rsidR="00907312" w:rsidRPr="004A4D63">
        <w:rPr>
          <w:sz w:val="28"/>
          <w:szCs w:val="28"/>
        </w:rPr>
        <w:t>NLRB ALJs are particularly active in promoting settlements; often a different ALJ is assigned to the case to mediate it.</w:t>
      </w:r>
      <w:r w:rsidR="00A867A6" w:rsidRPr="004A4D63">
        <w:rPr>
          <w:rStyle w:val="FootnoteReference"/>
          <w:sz w:val="28"/>
          <w:szCs w:val="28"/>
        </w:rPr>
        <w:footnoteReference w:id="77"/>
      </w:r>
      <w:r w:rsidR="00E7277C" w:rsidRPr="004A4D63">
        <w:rPr>
          <w:sz w:val="28"/>
          <w:szCs w:val="28"/>
        </w:rPr>
        <w:t xml:space="preserve"> </w:t>
      </w:r>
      <w:r w:rsidR="0091495C" w:rsidRPr="004A4D63">
        <w:rPr>
          <w:sz w:val="28"/>
          <w:szCs w:val="28"/>
        </w:rPr>
        <w:tab/>
      </w:r>
    </w:p>
    <w:p w14:paraId="4256318D" w14:textId="6E26B229" w:rsidR="00A07B28" w:rsidRPr="004A4D63" w:rsidRDefault="0083751E" w:rsidP="0065383A">
      <w:pPr>
        <w:spacing w:line="480" w:lineRule="auto"/>
        <w:jc w:val="center"/>
        <w:rPr>
          <w:sz w:val="28"/>
          <w:szCs w:val="28"/>
        </w:rPr>
      </w:pPr>
      <w:r w:rsidRPr="004A4D63">
        <w:rPr>
          <w:b/>
          <w:bCs/>
          <w:sz w:val="28"/>
          <w:szCs w:val="28"/>
        </w:rPr>
        <w:t>I</w:t>
      </w:r>
      <w:r w:rsidR="0007268D" w:rsidRPr="004A4D63">
        <w:rPr>
          <w:b/>
          <w:bCs/>
          <w:sz w:val="28"/>
          <w:szCs w:val="28"/>
        </w:rPr>
        <w:t>II</w:t>
      </w:r>
      <w:r w:rsidRPr="004A4D63">
        <w:rPr>
          <w:b/>
          <w:bCs/>
          <w:sz w:val="28"/>
          <w:szCs w:val="28"/>
        </w:rPr>
        <w:t xml:space="preserve">. </w:t>
      </w:r>
      <w:r w:rsidR="001B3CEB" w:rsidRPr="004A4D63">
        <w:rPr>
          <w:b/>
          <w:bCs/>
          <w:sz w:val="28"/>
          <w:szCs w:val="28"/>
        </w:rPr>
        <w:t xml:space="preserve">THE MERITS OF </w:t>
      </w:r>
      <w:r w:rsidR="007C1E62" w:rsidRPr="004A4D63">
        <w:rPr>
          <w:b/>
          <w:bCs/>
          <w:sz w:val="28"/>
          <w:szCs w:val="28"/>
        </w:rPr>
        <w:t xml:space="preserve">GREENLIGHTING </w:t>
      </w:r>
    </w:p>
    <w:p w14:paraId="640C3C43" w14:textId="26F1C078" w:rsidR="00F97AF0" w:rsidRPr="004A4D63" w:rsidRDefault="00602D7E" w:rsidP="0065383A">
      <w:pPr>
        <w:spacing w:line="480" w:lineRule="auto"/>
        <w:rPr>
          <w:sz w:val="28"/>
          <w:szCs w:val="28"/>
        </w:rPr>
      </w:pPr>
      <w:r w:rsidRPr="004A4D63">
        <w:rPr>
          <w:sz w:val="28"/>
          <w:szCs w:val="28"/>
        </w:rPr>
        <w:tab/>
      </w:r>
      <w:r w:rsidR="0007268D" w:rsidRPr="004A4D63">
        <w:rPr>
          <w:sz w:val="28"/>
          <w:szCs w:val="28"/>
        </w:rPr>
        <w:t xml:space="preserve">As discussed in Part I, </w:t>
      </w:r>
      <w:r w:rsidR="00A07B28" w:rsidRPr="004A4D63">
        <w:rPr>
          <w:sz w:val="28"/>
          <w:szCs w:val="28"/>
        </w:rPr>
        <w:t xml:space="preserve">the enforcement process </w:t>
      </w:r>
      <w:r w:rsidR="00F97AF0" w:rsidRPr="004A4D63">
        <w:rPr>
          <w:sz w:val="28"/>
          <w:szCs w:val="28"/>
        </w:rPr>
        <w:t xml:space="preserve">in combined-function </w:t>
      </w:r>
      <w:r w:rsidR="00AB46C1" w:rsidRPr="004A4D63">
        <w:rPr>
          <w:sz w:val="28"/>
          <w:szCs w:val="28"/>
        </w:rPr>
        <w:t xml:space="preserve">agencies </w:t>
      </w:r>
      <w:r w:rsidR="00A07B28" w:rsidRPr="004A4D63">
        <w:rPr>
          <w:sz w:val="28"/>
          <w:szCs w:val="28"/>
        </w:rPr>
        <w:t>begins with an investigation conducted by agency staff members who suspect a private sector target with wrongdoing.</w:t>
      </w:r>
      <w:r w:rsidR="00A07B28" w:rsidRPr="004A4D63">
        <w:rPr>
          <w:rStyle w:val="FootnoteReference"/>
          <w:sz w:val="28"/>
          <w:szCs w:val="28"/>
        </w:rPr>
        <w:footnoteReference w:id="78"/>
      </w:r>
      <w:r w:rsidR="00A07B28" w:rsidRPr="004A4D63">
        <w:rPr>
          <w:sz w:val="28"/>
          <w:szCs w:val="28"/>
        </w:rPr>
        <w:t xml:space="preserve">  If the investigators conclude that the law and facts support the issuance of a complaint, they report their conclusion to agency prosecutors. </w:t>
      </w:r>
      <w:r w:rsidR="00F97AF0" w:rsidRPr="004A4D63">
        <w:rPr>
          <w:sz w:val="28"/>
          <w:szCs w:val="28"/>
        </w:rPr>
        <w:t xml:space="preserve">In </w:t>
      </w:r>
      <w:r w:rsidR="00EE3FE3" w:rsidRPr="004A4D63">
        <w:rPr>
          <w:sz w:val="28"/>
          <w:szCs w:val="28"/>
        </w:rPr>
        <w:t xml:space="preserve">the agencies I studied, other than the NLRB, </w:t>
      </w:r>
      <w:r w:rsidR="00A07B28" w:rsidRPr="004A4D63">
        <w:rPr>
          <w:sz w:val="28"/>
          <w:szCs w:val="28"/>
        </w:rPr>
        <w:t xml:space="preserve">the prosecutors </w:t>
      </w:r>
      <w:r w:rsidR="004576C2" w:rsidRPr="004A4D63">
        <w:rPr>
          <w:sz w:val="28"/>
          <w:szCs w:val="28"/>
        </w:rPr>
        <w:t xml:space="preserve">lack </w:t>
      </w:r>
      <w:r w:rsidR="002E5133" w:rsidRPr="004A4D63">
        <w:rPr>
          <w:sz w:val="28"/>
          <w:szCs w:val="28"/>
        </w:rPr>
        <w:t xml:space="preserve">power to issue complaints on their own.  Instead, </w:t>
      </w:r>
      <w:r w:rsidR="00A07B28" w:rsidRPr="004A4D63">
        <w:rPr>
          <w:sz w:val="28"/>
          <w:szCs w:val="28"/>
        </w:rPr>
        <w:t xml:space="preserve">they </w:t>
      </w:r>
      <w:r w:rsidR="00AB46C1" w:rsidRPr="004A4D63">
        <w:rPr>
          <w:sz w:val="28"/>
          <w:szCs w:val="28"/>
        </w:rPr>
        <w:t xml:space="preserve">must </w:t>
      </w:r>
      <w:r w:rsidR="00A07B28" w:rsidRPr="004A4D63">
        <w:rPr>
          <w:sz w:val="28"/>
          <w:szCs w:val="28"/>
        </w:rPr>
        <w:t xml:space="preserve">request the agency heads to </w:t>
      </w:r>
      <w:r w:rsidR="00FE1480" w:rsidRPr="004A4D63">
        <w:rPr>
          <w:sz w:val="28"/>
          <w:szCs w:val="28"/>
        </w:rPr>
        <w:t xml:space="preserve">greenlight the case by </w:t>
      </w:r>
      <w:r w:rsidR="00A07B28" w:rsidRPr="004A4D63">
        <w:rPr>
          <w:sz w:val="28"/>
          <w:szCs w:val="28"/>
        </w:rPr>
        <w:t>authoriz</w:t>
      </w:r>
      <w:r w:rsidR="00FE1480" w:rsidRPr="004A4D63">
        <w:rPr>
          <w:sz w:val="28"/>
          <w:szCs w:val="28"/>
        </w:rPr>
        <w:t>ing</w:t>
      </w:r>
      <w:r w:rsidR="00A07B28" w:rsidRPr="004A4D63">
        <w:rPr>
          <w:sz w:val="28"/>
          <w:szCs w:val="28"/>
        </w:rPr>
        <w:t xml:space="preserve"> the issuance of a complain</w:t>
      </w:r>
      <w:r w:rsidR="00FE1480" w:rsidRPr="004A4D63">
        <w:rPr>
          <w:sz w:val="28"/>
          <w:szCs w:val="28"/>
        </w:rPr>
        <w:t>t</w:t>
      </w:r>
      <w:r w:rsidR="00AB46C1" w:rsidRPr="004A4D63">
        <w:rPr>
          <w:sz w:val="28"/>
          <w:szCs w:val="28"/>
        </w:rPr>
        <w:t>,</w:t>
      </w:r>
      <w:r w:rsidR="00FE1480" w:rsidRPr="004A4D63">
        <w:rPr>
          <w:sz w:val="28"/>
          <w:szCs w:val="28"/>
        </w:rPr>
        <w:t xml:space="preserve"> </w:t>
      </w:r>
      <w:r w:rsidR="00F97AF0" w:rsidRPr="004A4D63">
        <w:rPr>
          <w:sz w:val="28"/>
          <w:szCs w:val="28"/>
        </w:rPr>
        <w:t xml:space="preserve">initiating </w:t>
      </w:r>
      <w:r w:rsidR="00FE1480" w:rsidRPr="004A4D63">
        <w:rPr>
          <w:sz w:val="28"/>
          <w:szCs w:val="28"/>
        </w:rPr>
        <w:t>federal court action</w:t>
      </w:r>
      <w:r w:rsidR="00AB46C1" w:rsidRPr="004A4D63">
        <w:rPr>
          <w:sz w:val="28"/>
          <w:szCs w:val="28"/>
        </w:rPr>
        <w:t>,</w:t>
      </w:r>
      <w:r w:rsidR="00F97AF0" w:rsidRPr="004A4D63">
        <w:rPr>
          <w:sz w:val="28"/>
          <w:szCs w:val="28"/>
        </w:rPr>
        <w:t xml:space="preserve"> or making a criminal referral to the Department of Justice</w:t>
      </w:r>
      <w:r w:rsidR="00746353" w:rsidRPr="004A4D63">
        <w:rPr>
          <w:sz w:val="28"/>
          <w:szCs w:val="28"/>
        </w:rPr>
        <w:t>.</w:t>
      </w:r>
      <w:r w:rsidR="00F97AF0" w:rsidRPr="004A4D63">
        <w:rPr>
          <w:sz w:val="28"/>
          <w:szCs w:val="28"/>
        </w:rPr>
        <w:t xml:space="preserve"> </w:t>
      </w:r>
      <w:r w:rsidR="00FE1480" w:rsidRPr="004A4D63">
        <w:rPr>
          <w:sz w:val="28"/>
          <w:szCs w:val="28"/>
        </w:rPr>
        <w:t>I</w:t>
      </w:r>
      <w:r w:rsidR="00F97AF0" w:rsidRPr="004A4D63">
        <w:rPr>
          <w:sz w:val="28"/>
          <w:szCs w:val="28"/>
        </w:rPr>
        <w:t>n the va</w:t>
      </w:r>
      <w:r w:rsidR="00746353" w:rsidRPr="004A4D63">
        <w:rPr>
          <w:sz w:val="28"/>
          <w:szCs w:val="28"/>
        </w:rPr>
        <w:t>s</w:t>
      </w:r>
      <w:r w:rsidR="00F97AF0" w:rsidRPr="004A4D63">
        <w:rPr>
          <w:sz w:val="28"/>
          <w:szCs w:val="28"/>
        </w:rPr>
        <w:t xml:space="preserve">t majority of cases, </w:t>
      </w:r>
      <w:r w:rsidR="00FE1480" w:rsidRPr="004A4D63">
        <w:rPr>
          <w:sz w:val="28"/>
          <w:szCs w:val="28"/>
        </w:rPr>
        <w:t xml:space="preserve">the </w:t>
      </w:r>
      <w:r w:rsidR="00F97AF0" w:rsidRPr="004A4D63">
        <w:rPr>
          <w:sz w:val="28"/>
          <w:szCs w:val="28"/>
        </w:rPr>
        <w:t xml:space="preserve">staff and the target </w:t>
      </w:r>
      <w:r w:rsidR="00746353" w:rsidRPr="004A4D63">
        <w:rPr>
          <w:sz w:val="28"/>
          <w:szCs w:val="28"/>
        </w:rPr>
        <w:t xml:space="preserve">have </w:t>
      </w:r>
      <w:r w:rsidR="00F97AF0" w:rsidRPr="004A4D63">
        <w:rPr>
          <w:sz w:val="28"/>
          <w:szCs w:val="28"/>
        </w:rPr>
        <w:t>agree</w:t>
      </w:r>
      <w:r w:rsidR="00746353" w:rsidRPr="004A4D63">
        <w:rPr>
          <w:sz w:val="28"/>
          <w:szCs w:val="28"/>
        </w:rPr>
        <w:t>d</w:t>
      </w:r>
      <w:r w:rsidR="00F97AF0" w:rsidRPr="004A4D63">
        <w:rPr>
          <w:sz w:val="28"/>
          <w:szCs w:val="28"/>
        </w:rPr>
        <w:t xml:space="preserve"> to a settlement</w:t>
      </w:r>
      <w:r w:rsidR="00AB46C1" w:rsidRPr="004A4D63">
        <w:rPr>
          <w:sz w:val="28"/>
          <w:szCs w:val="28"/>
        </w:rPr>
        <w:t xml:space="preserve"> before the greenlighting stage</w:t>
      </w:r>
      <w:r w:rsidR="00F97AF0" w:rsidRPr="004A4D63">
        <w:rPr>
          <w:sz w:val="28"/>
          <w:szCs w:val="28"/>
        </w:rPr>
        <w:t>, but</w:t>
      </w:r>
      <w:r w:rsidR="00FE1480" w:rsidRPr="004A4D63">
        <w:rPr>
          <w:sz w:val="28"/>
          <w:szCs w:val="28"/>
        </w:rPr>
        <w:t xml:space="preserve"> agency heads must approve the settlement</w:t>
      </w:r>
      <w:r w:rsidR="002E7225" w:rsidRPr="004A4D63">
        <w:rPr>
          <w:sz w:val="28"/>
          <w:szCs w:val="28"/>
        </w:rPr>
        <w:t>.</w:t>
      </w:r>
      <w:r w:rsidR="00F97AF0" w:rsidRPr="004A4D63">
        <w:rPr>
          <w:sz w:val="28"/>
          <w:szCs w:val="28"/>
        </w:rPr>
        <w:t xml:space="preserve"> </w:t>
      </w:r>
      <w:r w:rsidR="00EE3FE3" w:rsidRPr="004A4D63">
        <w:rPr>
          <w:sz w:val="28"/>
          <w:szCs w:val="28"/>
        </w:rPr>
        <w:t xml:space="preserve"> </w:t>
      </w:r>
    </w:p>
    <w:p w14:paraId="680EB620" w14:textId="0CB6B88E" w:rsidR="00A07B28" w:rsidRPr="004A4D63" w:rsidRDefault="00F97AF0" w:rsidP="0065383A">
      <w:pPr>
        <w:spacing w:line="480" w:lineRule="auto"/>
        <w:rPr>
          <w:sz w:val="28"/>
          <w:szCs w:val="28"/>
        </w:rPr>
      </w:pPr>
      <w:r w:rsidRPr="004A4D63">
        <w:rPr>
          <w:sz w:val="28"/>
          <w:szCs w:val="28"/>
        </w:rPr>
        <w:tab/>
      </w:r>
      <w:r w:rsidR="00EE3FE3" w:rsidRPr="004A4D63">
        <w:rPr>
          <w:sz w:val="28"/>
          <w:szCs w:val="28"/>
        </w:rPr>
        <w:t xml:space="preserve">Part III </w:t>
      </w:r>
      <w:r w:rsidRPr="004A4D63">
        <w:rPr>
          <w:sz w:val="28"/>
          <w:szCs w:val="28"/>
        </w:rPr>
        <w:t>discusses the greenlighting function</w:t>
      </w:r>
      <w:r w:rsidR="00AB46C1" w:rsidRPr="004A4D63">
        <w:rPr>
          <w:sz w:val="28"/>
          <w:szCs w:val="28"/>
        </w:rPr>
        <w:t>.</w:t>
      </w:r>
      <w:r w:rsidRPr="004A4D63">
        <w:rPr>
          <w:sz w:val="28"/>
          <w:szCs w:val="28"/>
        </w:rPr>
        <w:t xml:space="preserve"> It situates </w:t>
      </w:r>
      <w:r w:rsidR="00EE3FE3" w:rsidRPr="004A4D63">
        <w:rPr>
          <w:sz w:val="28"/>
          <w:szCs w:val="28"/>
        </w:rPr>
        <w:t xml:space="preserve">greenlighting </w:t>
      </w:r>
      <w:r w:rsidRPr="004A4D63">
        <w:rPr>
          <w:sz w:val="28"/>
          <w:szCs w:val="28"/>
        </w:rPr>
        <w:t>as</w:t>
      </w:r>
      <w:r w:rsidR="00790D26" w:rsidRPr="004A4D63">
        <w:rPr>
          <w:sz w:val="28"/>
          <w:szCs w:val="28"/>
        </w:rPr>
        <w:t xml:space="preserve"> an accountability mechanism and as </w:t>
      </w:r>
      <w:r w:rsidRPr="004A4D63">
        <w:rPr>
          <w:sz w:val="28"/>
          <w:szCs w:val="28"/>
        </w:rPr>
        <w:t xml:space="preserve">“internal administrative law” </w:t>
      </w:r>
      <w:r w:rsidR="007C1E62" w:rsidRPr="004A4D63">
        <w:rPr>
          <w:sz w:val="28"/>
          <w:szCs w:val="28"/>
        </w:rPr>
        <w:t xml:space="preserve">(Part </w:t>
      </w:r>
      <w:r w:rsidR="00746353" w:rsidRPr="004A4D63">
        <w:rPr>
          <w:sz w:val="28"/>
          <w:szCs w:val="28"/>
        </w:rPr>
        <w:t>A</w:t>
      </w:r>
      <w:r w:rsidR="007C1E62" w:rsidRPr="004A4D63">
        <w:rPr>
          <w:sz w:val="28"/>
          <w:szCs w:val="28"/>
        </w:rPr>
        <w:t>)</w:t>
      </w:r>
      <w:r w:rsidR="004576C2" w:rsidRPr="004A4D63">
        <w:rPr>
          <w:sz w:val="28"/>
          <w:szCs w:val="28"/>
        </w:rPr>
        <w:t xml:space="preserve">. It then </w:t>
      </w:r>
      <w:r w:rsidR="007C1E62" w:rsidRPr="004A4D63">
        <w:rPr>
          <w:sz w:val="28"/>
          <w:szCs w:val="28"/>
        </w:rPr>
        <w:lastRenderedPageBreak/>
        <w:t xml:space="preserve">discusses the </w:t>
      </w:r>
      <w:r w:rsidR="00CF1D25">
        <w:rPr>
          <w:sz w:val="28"/>
          <w:szCs w:val="28"/>
        </w:rPr>
        <w:t xml:space="preserve">arguments </w:t>
      </w:r>
      <w:r w:rsidR="006B094E" w:rsidRPr="004A4D63">
        <w:rPr>
          <w:sz w:val="28"/>
          <w:szCs w:val="28"/>
        </w:rPr>
        <w:t xml:space="preserve">for and against </w:t>
      </w:r>
      <w:r w:rsidR="007C1E62" w:rsidRPr="004A4D63">
        <w:rPr>
          <w:sz w:val="28"/>
          <w:szCs w:val="28"/>
        </w:rPr>
        <w:t xml:space="preserve">the practice (Parts </w:t>
      </w:r>
      <w:r w:rsidR="00746353" w:rsidRPr="004A4D63">
        <w:rPr>
          <w:sz w:val="28"/>
          <w:szCs w:val="28"/>
        </w:rPr>
        <w:t>B</w:t>
      </w:r>
      <w:r w:rsidR="007C1E62" w:rsidRPr="004A4D63">
        <w:rPr>
          <w:sz w:val="28"/>
          <w:szCs w:val="28"/>
        </w:rPr>
        <w:t xml:space="preserve"> and </w:t>
      </w:r>
      <w:r w:rsidR="00746353" w:rsidRPr="004A4D63">
        <w:rPr>
          <w:sz w:val="28"/>
          <w:szCs w:val="28"/>
        </w:rPr>
        <w:t>C</w:t>
      </w:r>
      <w:r w:rsidR="007C1E62" w:rsidRPr="004A4D63">
        <w:rPr>
          <w:sz w:val="28"/>
          <w:szCs w:val="28"/>
        </w:rPr>
        <w:t>)</w:t>
      </w:r>
      <w:r w:rsidR="006B094E" w:rsidRPr="004A4D63">
        <w:rPr>
          <w:sz w:val="28"/>
          <w:szCs w:val="28"/>
        </w:rPr>
        <w:t>.  It concludes that the</w:t>
      </w:r>
      <w:r w:rsidR="004576C2" w:rsidRPr="004A4D63">
        <w:rPr>
          <w:sz w:val="28"/>
          <w:szCs w:val="28"/>
        </w:rPr>
        <w:t xml:space="preserve"> </w:t>
      </w:r>
      <w:r w:rsidR="006B094E" w:rsidRPr="004A4D63">
        <w:rPr>
          <w:sz w:val="28"/>
          <w:szCs w:val="28"/>
        </w:rPr>
        <w:t xml:space="preserve">benefits of greenlighting outweigh the costs (Part D). </w:t>
      </w:r>
    </w:p>
    <w:p w14:paraId="254063BA" w14:textId="618B0B44" w:rsidR="00602D7E" w:rsidRPr="004A4D63" w:rsidRDefault="00746353" w:rsidP="0065383A">
      <w:pPr>
        <w:spacing w:line="480" w:lineRule="auto"/>
        <w:rPr>
          <w:b/>
          <w:bCs/>
          <w:sz w:val="28"/>
          <w:szCs w:val="28"/>
        </w:rPr>
      </w:pPr>
      <w:r w:rsidRPr="004A4D63">
        <w:rPr>
          <w:b/>
          <w:bCs/>
          <w:sz w:val="28"/>
          <w:szCs w:val="28"/>
        </w:rPr>
        <w:t>A.</w:t>
      </w:r>
      <w:r w:rsidR="00F97AF0" w:rsidRPr="004A4D63">
        <w:rPr>
          <w:b/>
          <w:bCs/>
          <w:sz w:val="28"/>
          <w:szCs w:val="28"/>
        </w:rPr>
        <w:t xml:space="preserve"> </w:t>
      </w:r>
      <w:r w:rsidR="009F4207" w:rsidRPr="004A4D63">
        <w:rPr>
          <w:b/>
          <w:bCs/>
          <w:sz w:val="28"/>
          <w:szCs w:val="28"/>
        </w:rPr>
        <w:t xml:space="preserve"> INTERNAL ADMINISTRATIVE LAW</w:t>
      </w:r>
      <w:r w:rsidR="00CD2F90" w:rsidRPr="004A4D63">
        <w:rPr>
          <w:b/>
          <w:bCs/>
          <w:sz w:val="28"/>
          <w:szCs w:val="28"/>
        </w:rPr>
        <w:t xml:space="preserve">    </w:t>
      </w:r>
      <w:r w:rsidR="00602D7E" w:rsidRPr="004A4D63">
        <w:rPr>
          <w:b/>
          <w:bCs/>
          <w:sz w:val="28"/>
          <w:szCs w:val="28"/>
        </w:rPr>
        <w:t xml:space="preserve"> </w:t>
      </w:r>
    </w:p>
    <w:p w14:paraId="5280D2C4" w14:textId="7FDBA9DD" w:rsidR="007C1E62" w:rsidRPr="004A4D63" w:rsidRDefault="00602D7E" w:rsidP="0065383A">
      <w:pPr>
        <w:spacing w:line="480" w:lineRule="auto"/>
        <w:rPr>
          <w:sz w:val="28"/>
          <w:szCs w:val="28"/>
        </w:rPr>
      </w:pPr>
      <w:r w:rsidRPr="004A4D63">
        <w:rPr>
          <w:sz w:val="28"/>
          <w:szCs w:val="28"/>
        </w:rPr>
        <w:tab/>
      </w:r>
      <w:r w:rsidR="0076567B" w:rsidRPr="004A4D63">
        <w:rPr>
          <w:sz w:val="28"/>
          <w:szCs w:val="28"/>
        </w:rPr>
        <w:t xml:space="preserve">This </w:t>
      </w:r>
      <w:r w:rsidR="002E7225" w:rsidRPr="004A4D63">
        <w:rPr>
          <w:sz w:val="28"/>
          <w:szCs w:val="28"/>
        </w:rPr>
        <w:t xml:space="preserve">article </w:t>
      </w:r>
      <w:r w:rsidR="0076567B" w:rsidRPr="004A4D63">
        <w:rPr>
          <w:sz w:val="28"/>
          <w:szCs w:val="28"/>
        </w:rPr>
        <w:t>discusses charging decision</w:t>
      </w:r>
      <w:r w:rsidR="00A44D04" w:rsidRPr="004A4D63">
        <w:rPr>
          <w:sz w:val="28"/>
          <w:szCs w:val="28"/>
        </w:rPr>
        <w:t xml:space="preserve">s by federal </w:t>
      </w:r>
      <w:r w:rsidR="006B094E" w:rsidRPr="004A4D63">
        <w:rPr>
          <w:sz w:val="28"/>
          <w:szCs w:val="28"/>
        </w:rPr>
        <w:t xml:space="preserve">combined-function </w:t>
      </w:r>
      <w:r w:rsidR="00A44D04" w:rsidRPr="004A4D63">
        <w:rPr>
          <w:sz w:val="28"/>
          <w:szCs w:val="28"/>
        </w:rPr>
        <w:t xml:space="preserve">administrative agencies and </w:t>
      </w:r>
      <w:r w:rsidR="00727246" w:rsidRPr="004A4D63">
        <w:rPr>
          <w:sz w:val="28"/>
          <w:szCs w:val="28"/>
        </w:rPr>
        <w:t xml:space="preserve">the </w:t>
      </w:r>
      <w:r w:rsidR="00A44D04" w:rsidRPr="004A4D63">
        <w:rPr>
          <w:sz w:val="28"/>
          <w:szCs w:val="28"/>
        </w:rPr>
        <w:t xml:space="preserve">mechanisms by which prosecutorial discretion </w:t>
      </w:r>
      <w:r w:rsidR="006B094E" w:rsidRPr="004A4D63">
        <w:rPr>
          <w:sz w:val="28"/>
          <w:szCs w:val="28"/>
        </w:rPr>
        <w:t xml:space="preserve">in such agencies </w:t>
      </w:r>
      <w:r w:rsidR="00A44D04" w:rsidRPr="004A4D63">
        <w:rPr>
          <w:sz w:val="28"/>
          <w:szCs w:val="28"/>
        </w:rPr>
        <w:t xml:space="preserve">is checked.  </w:t>
      </w:r>
      <w:r w:rsidR="00171A66" w:rsidRPr="004A4D63">
        <w:rPr>
          <w:sz w:val="28"/>
          <w:szCs w:val="28"/>
        </w:rPr>
        <w:t xml:space="preserve">As a practical matter, there </w:t>
      </w:r>
      <w:r w:rsidR="00D370DE" w:rsidRPr="004A4D63">
        <w:rPr>
          <w:sz w:val="28"/>
          <w:szCs w:val="28"/>
        </w:rPr>
        <w:t>are</w:t>
      </w:r>
      <w:r w:rsidR="00171A66" w:rsidRPr="004A4D63">
        <w:rPr>
          <w:sz w:val="28"/>
          <w:szCs w:val="28"/>
        </w:rPr>
        <w:t xml:space="preserve"> no </w:t>
      </w:r>
      <w:r w:rsidR="00CB0E46" w:rsidRPr="004A4D63">
        <w:rPr>
          <w:sz w:val="28"/>
          <w:szCs w:val="28"/>
        </w:rPr>
        <w:t xml:space="preserve">external </w:t>
      </w:r>
      <w:r w:rsidR="004E334C" w:rsidRPr="004A4D63">
        <w:rPr>
          <w:sz w:val="28"/>
          <w:szCs w:val="28"/>
        </w:rPr>
        <w:t xml:space="preserve">judicial, </w:t>
      </w:r>
      <w:r w:rsidR="006772B1" w:rsidRPr="004A4D63">
        <w:rPr>
          <w:sz w:val="28"/>
          <w:szCs w:val="28"/>
        </w:rPr>
        <w:t xml:space="preserve">legislative or executive </w:t>
      </w:r>
      <w:r w:rsidR="00D370DE" w:rsidRPr="004A4D63">
        <w:rPr>
          <w:sz w:val="28"/>
          <w:szCs w:val="28"/>
        </w:rPr>
        <w:t>branch accountability mechanisms</w:t>
      </w:r>
      <w:r w:rsidR="005F56EB" w:rsidRPr="004A4D63">
        <w:rPr>
          <w:rStyle w:val="FootnoteReference"/>
          <w:sz w:val="28"/>
          <w:szCs w:val="28"/>
        </w:rPr>
        <w:footnoteReference w:id="79"/>
      </w:r>
      <w:r w:rsidR="00D370DE" w:rsidRPr="004A4D63">
        <w:rPr>
          <w:sz w:val="28"/>
          <w:szCs w:val="28"/>
        </w:rPr>
        <w:t xml:space="preserve"> t</w:t>
      </w:r>
      <w:r w:rsidR="00F91ACE" w:rsidRPr="004A4D63">
        <w:rPr>
          <w:sz w:val="28"/>
          <w:szCs w:val="28"/>
        </w:rPr>
        <w:t>hat</w:t>
      </w:r>
      <w:r w:rsidR="00D370DE" w:rsidRPr="004A4D63">
        <w:rPr>
          <w:sz w:val="28"/>
          <w:szCs w:val="28"/>
        </w:rPr>
        <w:t xml:space="preserve"> constrain </w:t>
      </w:r>
      <w:r w:rsidR="00171A66" w:rsidRPr="004A4D63">
        <w:rPr>
          <w:sz w:val="28"/>
          <w:szCs w:val="28"/>
        </w:rPr>
        <w:t xml:space="preserve">agency </w:t>
      </w:r>
      <w:r w:rsidR="00D370DE" w:rsidRPr="004A4D63">
        <w:rPr>
          <w:sz w:val="28"/>
          <w:szCs w:val="28"/>
        </w:rPr>
        <w:t>enforcement</w:t>
      </w:r>
      <w:r w:rsidR="004E334C" w:rsidRPr="004A4D63">
        <w:rPr>
          <w:sz w:val="28"/>
          <w:szCs w:val="28"/>
        </w:rPr>
        <w:t xml:space="preserve"> discretion.</w:t>
      </w:r>
      <w:r w:rsidR="005F56EB" w:rsidRPr="004A4D63">
        <w:rPr>
          <w:rStyle w:val="FootnoteReference"/>
          <w:sz w:val="28"/>
          <w:szCs w:val="28"/>
        </w:rPr>
        <w:footnoteReference w:id="80"/>
      </w:r>
      <w:r w:rsidR="00C1478B" w:rsidRPr="004A4D63">
        <w:rPr>
          <w:sz w:val="28"/>
          <w:szCs w:val="28"/>
        </w:rPr>
        <w:t xml:space="preserve"> </w:t>
      </w:r>
      <w:r w:rsidR="000D6C63" w:rsidRPr="004A4D63">
        <w:rPr>
          <w:sz w:val="28"/>
          <w:szCs w:val="28"/>
        </w:rPr>
        <w:t>Unlike m</w:t>
      </w:r>
      <w:r w:rsidR="008E514E" w:rsidRPr="004A4D63">
        <w:rPr>
          <w:sz w:val="28"/>
          <w:szCs w:val="28"/>
        </w:rPr>
        <w:t xml:space="preserve">ost </w:t>
      </w:r>
      <w:r w:rsidR="000D6C63" w:rsidRPr="004A4D63">
        <w:rPr>
          <w:sz w:val="28"/>
          <w:szCs w:val="28"/>
        </w:rPr>
        <w:t xml:space="preserve">state and local criminal prosecutors, agency prosecutors </w:t>
      </w:r>
      <w:r w:rsidR="00C43D9D" w:rsidRPr="004A4D63">
        <w:rPr>
          <w:sz w:val="28"/>
          <w:szCs w:val="28"/>
        </w:rPr>
        <w:t xml:space="preserve">and agency heads </w:t>
      </w:r>
      <w:r w:rsidR="000D6C63" w:rsidRPr="004A4D63">
        <w:rPr>
          <w:sz w:val="28"/>
          <w:szCs w:val="28"/>
        </w:rPr>
        <w:t xml:space="preserve">are not subject to </w:t>
      </w:r>
      <w:r w:rsidR="008E514E" w:rsidRPr="004A4D63">
        <w:rPr>
          <w:sz w:val="28"/>
          <w:szCs w:val="28"/>
        </w:rPr>
        <w:t xml:space="preserve">check through periodic elections or recall elections. </w:t>
      </w:r>
    </w:p>
    <w:p w14:paraId="0D200F43" w14:textId="5C893AED" w:rsidR="005F56EB" w:rsidRPr="004A4D63" w:rsidRDefault="007C1E62" w:rsidP="0065383A">
      <w:pPr>
        <w:spacing w:line="480" w:lineRule="auto"/>
        <w:rPr>
          <w:sz w:val="28"/>
          <w:szCs w:val="28"/>
        </w:rPr>
      </w:pPr>
      <w:r w:rsidRPr="004A4D63">
        <w:rPr>
          <w:sz w:val="28"/>
          <w:szCs w:val="28"/>
        </w:rPr>
        <w:tab/>
      </w:r>
      <w:r w:rsidR="00D370DE" w:rsidRPr="004A4D63">
        <w:rPr>
          <w:sz w:val="28"/>
          <w:szCs w:val="28"/>
        </w:rPr>
        <w:t xml:space="preserve">The judiciary </w:t>
      </w:r>
      <w:r w:rsidR="00C43D9D" w:rsidRPr="004A4D63">
        <w:rPr>
          <w:sz w:val="28"/>
          <w:szCs w:val="28"/>
        </w:rPr>
        <w:t xml:space="preserve">cannot </w:t>
      </w:r>
      <w:r w:rsidR="004576C2" w:rsidRPr="004A4D63">
        <w:rPr>
          <w:sz w:val="28"/>
          <w:szCs w:val="28"/>
        </w:rPr>
        <w:t xml:space="preserve">review charging decisions </w:t>
      </w:r>
      <w:r w:rsidR="00AB10CA" w:rsidRPr="004A4D63">
        <w:rPr>
          <w:sz w:val="28"/>
          <w:szCs w:val="28"/>
        </w:rPr>
        <w:t xml:space="preserve">because </w:t>
      </w:r>
      <w:r w:rsidR="004576C2" w:rsidRPr="004A4D63">
        <w:rPr>
          <w:sz w:val="28"/>
          <w:szCs w:val="28"/>
        </w:rPr>
        <w:t xml:space="preserve">they </w:t>
      </w:r>
      <w:r w:rsidR="00C43D9D" w:rsidRPr="004A4D63">
        <w:rPr>
          <w:sz w:val="28"/>
          <w:szCs w:val="28"/>
        </w:rPr>
        <w:t>are not  “final orders</w:t>
      </w:r>
      <w:r w:rsidR="004576C2" w:rsidRPr="004A4D63">
        <w:rPr>
          <w:sz w:val="28"/>
          <w:szCs w:val="28"/>
        </w:rPr>
        <w:t>.</w:t>
      </w:r>
      <w:r w:rsidR="00C43D9D" w:rsidRPr="004A4D63">
        <w:rPr>
          <w:sz w:val="28"/>
          <w:szCs w:val="28"/>
        </w:rPr>
        <w:t>”</w:t>
      </w:r>
      <w:r w:rsidR="000B4F7C" w:rsidRPr="004A4D63">
        <w:rPr>
          <w:rStyle w:val="FootnoteReference"/>
          <w:sz w:val="28"/>
          <w:szCs w:val="28"/>
        </w:rPr>
        <w:footnoteReference w:id="81"/>
      </w:r>
      <w:r w:rsidR="00AB10CA" w:rsidRPr="004A4D63">
        <w:rPr>
          <w:sz w:val="28"/>
          <w:szCs w:val="28"/>
        </w:rPr>
        <w:t xml:space="preserve"> Moreover, </w:t>
      </w:r>
      <w:r w:rsidR="004576C2" w:rsidRPr="004A4D63">
        <w:rPr>
          <w:sz w:val="28"/>
          <w:szCs w:val="28"/>
        </w:rPr>
        <w:t xml:space="preserve">charging </w:t>
      </w:r>
      <w:r w:rsidR="00AB10CA" w:rsidRPr="004A4D63">
        <w:rPr>
          <w:sz w:val="28"/>
          <w:szCs w:val="28"/>
        </w:rPr>
        <w:t>decision</w:t>
      </w:r>
      <w:r w:rsidR="004576C2" w:rsidRPr="004A4D63">
        <w:rPr>
          <w:sz w:val="28"/>
          <w:szCs w:val="28"/>
        </w:rPr>
        <w:t xml:space="preserve">s are </w:t>
      </w:r>
      <w:r w:rsidR="008D3F2B" w:rsidRPr="004A4D63">
        <w:rPr>
          <w:sz w:val="28"/>
          <w:szCs w:val="28"/>
        </w:rPr>
        <w:t xml:space="preserve">normally unreviewable because </w:t>
      </w:r>
      <w:r w:rsidR="004576C2" w:rsidRPr="004A4D63">
        <w:rPr>
          <w:sz w:val="28"/>
          <w:szCs w:val="28"/>
        </w:rPr>
        <w:t xml:space="preserve">they are </w:t>
      </w:r>
      <w:r w:rsidR="00A40456" w:rsidRPr="004A4D63">
        <w:rPr>
          <w:sz w:val="28"/>
          <w:szCs w:val="28"/>
        </w:rPr>
        <w:t>committed to agency discretion.</w:t>
      </w:r>
      <w:r w:rsidR="009F6595" w:rsidRPr="004A4D63">
        <w:rPr>
          <w:rStyle w:val="FootnoteReference"/>
          <w:sz w:val="28"/>
          <w:szCs w:val="28"/>
        </w:rPr>
        <w:footnoteReference w:id="82"/>
      </w:r>
      <w:r w:rsidR="00A634BF" w:rsidRPr="004A4D63">
        <w:rPr>
          <w:sz w:val="28"/>
          <w:szCs w:val="28"/>
        </w:rPr>
        <w:t xml:space="preserve"> </w:t>
      </w:r>
      <w:r w:rsidR="00BF0863" w:rsidRPr="004A4D63">
        <w:rPr>
          <w:sz w:val="28"/>
          <w:szCs w:val="28"/>
        </w:rPr>
        <w:t>In any case</w:t>
      </w:r>
      <w:r w:rsidR="009F6595" w:rsidRPr="004A4D63">
        <w:rPr>
          <w:sz w:val="28"/>
          <w:szCs w:val="28"/>
        </w:rPr>
        <w:t xml:space="preserve">, the vast majority of </w:t>
      </w:r>
      <w:r w:rsidR="003D295A" w:rsidRPr="004A4D63">
        <w:rPr>
          <w:sz w:val="28"/>
          <w:szCs w:val="28"/>
        </w:rPr>
        <w:lastRenderedPageBreak/>
        <w:t xml:space="preserve">administrative enforcement </w:t>
      </w:r>
      <w:r w:rsidR="009F6595" w:rsidRPr="004A4D63">
        <w:rPr>
          <w:sz w:val="28"/>
          <w:szCs w:val="28"/>
        </w:rPr>
        <w:t>cases settle instead of being adjudicated to a final agency decision</w:t>
      </w:r>
      <w:r w:rsidR="00044990" w:rsidRPr="004A4D63">
        <w:rPr>
          <w:sz w:val="28"/>
          <w:szCs w:val="28"/>
        </w:rPr>
        <w:t>,</w:t>
      </w:r>
      <w:r w:rsidR="00AB10CA" w:rsidRPr="004A4D63">
        <w:rPr>
          <w:sz w:val="28"/>
          <w:szCs w:val="28"/>
        </w:rPr>
        <w:t xml:space="preserve"> </w:t>
      </w:r>
      <w:r w:rsidR="004564BB" w:rsidRPr="004A4D63">
        <w:rPr>
          <w:sz w:val="28"/>
          <w:szCs w:val="28"/>
        </w:rPr>
        <w:t xml:space="preserve">leaving </w:t>
      </w:r>
      <w:r w:rsidR="00AB10CA" w:rsidRPr="004A4D63">
        <w:rPr>
          <w:sz w:val="28"/>
          <w:szCs w:val="28"/>
        </w:rPr>
        <w:t xml:space="preserve">nothing </w:t>
      </w:r>
      <w:r w:rsidR="003D295A" w:rsidRPr="004A4D63">
        <w:rPr>
          <w:sz w:val="28"/>
          <w:szCs w:val="28"/>
        </w:rPr>
        <w:t xml:space="preserve">for courts </w:t>
      </w:r>
      <w:r w:rsidR="00AB10CA" w:rsidRPr="004A4D63">
        <w:rPr>
          <w:sz w:val="28"/>
          <w:szCs w:val="28"/>
        </w:rPr>
        <w:t>to review</w:t>
      </w:r>
      <w:r w:rsidR="009F4207" w:rsidRPr="004A4D63">
        <w:rPr>
          <w:sz w:val="28"/>
          <w:szCs w:val="28"/>
        </w:rPr>
        <w:t>.</w:t>
      </w:r>
      <w:r w:rsidR="009F6595" w:rsidRPr="004A4D63">
        <w:rPr>
          <w:sz w:val="28"/>
          <w:szCs w:val="28"/>
        </w:rPr>
        <w:t xml:space="preserve"> </w:t>
      </w:r>
      <w:r w:rsidR="009F4207" w:rsidRPr="004A4D63">
        <w:rPr>
          <w:sz w:val="28"/>
          <w:szCs w:val="28"/>
        </w:rPr>
        <w:t xml:space="preserve">Of cases litigated to a final decision by </w:t>
      </w:r>
      <w:r w:rsidR="00044990" w:rsidRPr="004A4D63">
        <w:rPr>
          <w:sz w:val="28"/>
          <w:szCs w:val="28"/>
        </w:rPr>
        <w:t xml:space="preserve">the </w:t>
      </w:r>
      <w:r w:rsidR="009F4207" w:rsidRPr="004A4D63">
        <w:rPr>
          <w:sz w:val="28"/>
          <w:szCs w:val="28"/>
        </w:rPr>
        <w:t xml:space="preserve">agency heads, relatively </w:t>
      </w:r>
      <w:r w:rsidR="009F6595" w:rsidRPr="004A4D63">
        <w:rPr>
          <w:sz w:val="28"/>
          <w:szCs w:val="28"/>
        </w:rPr>
        <w:t xml:space="preserve">few </w:t>
      </w:r>
      <w:r w:rsidR="00BF0863" w:rsidRPr="004A4D63">
        <w:rPr>
          <w:sz w:val="28"/>
          <w:szCs w:val="28"/>
        </w:rPr>
        <w:t xml:space="preserve">are </w:t>
      </w:r>
      <w:r w:rsidR="009F6595" w:rsidRPr="004A4D63">
        <w:rPr>
          <w:sz w:val="28"/>
          <w:szCs w:val="28"/>
        </w:rPr>
        <w:t xml:space="preserve">judicially </w:t>
      </w:r>
      <w:r w:rsidR="00BF0863" w:rsidRPr="004A4D63">
        <w:rPr>
          <w:sz w:val="28"/>
          <w:szCs w:val="28"/>
        </w:rPr>
        <w:t xml:space="preserve">reviewed since </w:t>
      </w:r>
      <w:r w:rsidR="00122D19" w:rsidRPr="004A4D63">
        <w:rPr>
          <w:sz w:val="28"/>
          <w:szCs w:val="28"/>
        </w:rPr>
        <w:t xml:space="preserve">the review process </w:t>
      </w:r>
      <w:r w:rsidR="009F6595" w:rsidRPr="004A4D63">
        <w:rPr>
          <w:sz w:val="28"/>
          <w:szCs w:val="28"/>
        </w:rPr>
        <w:t xml:space="preserve">is </w:t>
      </w:r>
      <w:r w:rsidR="00122D19" w:rsidRPr="004A4D63">
        <w:rPr>
          <w:sz w:val="28"/>
          <w:szCs w:val="28"/>
        </w:rPr>
        <w:t xml:space="preserve">so slow and </w:t>
      </w:r>
      <w:r w:rsidR="009F6595" w:rsidRPr="004A4D63">
        <w:rPr>
          <w:sz w:val="28"/>
          <w:szCs w:val="28"/>
        </w:rPr>
        <w:t>costly and various deference doctrines</w:t>
      </w:r>
      <w:r w:rsidR="00A634BF" w:rsidRPr="004A4D63">
        <w:rPr>
          <w:sz w:val="28"/>
          <w:szCs w:val="28"/>
        </w:rPr>
        <w:t xml:space="preserve"> make reversal </w:t>
      </w:r>
      <w:r w:rsidR="009F6595" w:rsidRPr="004A4D63">
        <w:rPr>
          <w:sz w:val="28"/>
          <w:szCs w:val="28"/>
        </w:rPr>
        <w:t>unlikely</w:t>
      </w:r>
      <w:r w:rsidR="00A634BF" w:rsidRPr="004A4D63">
        <w:rPr>
          <w:sz w:val="28"/>
          <w:szCs w:val="28"/>
        </w:rPr>
        <w:t>.</w:t>
      </w:r>
      <w:r w:rsidR="00044990" w:rsidRPr="004A4D63">
        <w:rPr>
          <w:rStyle w:val="FootnoteReference"/>
          <w:sz w:val="28"/>
          <w:szCs w:val="28"/>
        </w:rPr>
        <w:footnoteReference w:id="83"/>
      </w:r>
      <w:r w:rsidRPr="004A4D63">
        <w:rPr>
          <w:sz w:val="28"/>
          <w:szCs w:val="28"/>
        </w:rPr>
        <w:t xml:space="preserve">  If the case is judicially reviewed, the court considers the merits of the decision, not the preliminary decision to charge</w:t>
      </w:r>
      <w:r w:rsidR="004564BB" w:rsidRPr="004A4D63">
        <w:rPr>
          <w:sz w:val="28"/>
          <w:szCs w:val="28"/>
        </w:rPr>
        <w:t>.</w:t>
      </w:r>
      <w:r w:rsidRPr="004A4D63">
        <w:rPr>
          <w:sz w:val="28"/>
          <w:szCs w:val="28"/>
        </w:rPr>
        <w:t xml:space="preserve"> </w:t>
      </w:r>
      <w:r w:rsidR="00A634BF" w:rsidRPr="004A4D63">
        <w:rPr>
          <w:sz w:val="28"/>
          <w:szCs w:val="28"/>
        </w:rPr>
        <w:t xml:space="preserve">Even a successful judicial assault on an agency enforcement decision </w:t>
      </w:r>
      <w:r w:rsidR="00D370DE" w:rsidRPr="004A4D63">
        <w:rPr>
          <w:sz w:val="28"/>
          <w:szCs w:val="28"/>
        </w:rPr>
        <w:t xml:space="preserve">often </w:t>
      </w:r>
      <w:r w:rsidR="009F6595" w:rsidRPr="004A4D63">
        <w:rPr>
          <w:sz w:val="28"/>
          <w:szCs w:val="28"/>
        </w:rPr>
        <w:t>produce</w:t>
      </w:r>
      <w:r w:rsidR="00D370DE" w:rsidRPr="004A4D63">
        <w:rPr>
          <w:sz w:val="28"/>
          <w:szCs w:val="28"/>
        </w:rPr>
        <w:t>s</w:t>
      </w:r>
      <w:r w:rsidR="009F6595" w:rsidRPr="004A4D63">
        <w:rPr>
          <w:sz w:val="28"/>
          <w:szCs w:val="28"/>
        </w:rPr>
        <w:t xml:space="preserve"> </w:t>
      </w:r>
      <w:r w:rsidR="00A634BF" w:rsidRPr="004A4D63">
        <w:rPr>
          <w:sz w:val="28"/>
          <w:szCs w:val="28"/>
        </w:rPr>
        <w:t xml:space="preserve">only </w:t>
      </w:r>
      <w:r w:rsidR="009F6595" w:rsidRPr="004A4D63">
        <w:rPr>
          <w:sz w:val="28"/>
          <w:szCs w:val="28"/>
        </w:rPr>
        <w:t xml:space="preserve">a remand that allows the agency to reconsider the case and come to the same conclusion. </w:t>
      </w:r>
      <w:r w:rsidR="009F4207" w:rsidRPr="004A4D63">
        <w:rPr>
          <w:sz w:val="28"/>
          <w:szCs w:val="28"/>
        </w:rPr>
        <w:t>N</w:t>
      </w:r>
      <w:r w:rsidR="004E334C" w:rsidRPr="004A4D63">
        <w:rPr>
          <w:sz w:val="28"/>
          <w:szCs w:val="28"/>
        </w:rPr>
        <w:t>or do</w:t>
      </w:r>
      <w:r w:rsidRPr="004A4D63">
        <w:rPr>
          <w:sz w:val="28"/>
          <w:szCs w:val="28"/>
        </w:rPr>
        <w:t>es</w:t>
      </w:r>
      <w:r w:rsidR="004E334C" w:rsidRPr="004A4D63">
        <w:rPr>
          <w:sz w:val="28"/>
          <w:szCs w:val="28"/>
        </w:rPr>
        <w:t xml:space="preserve"> Congress or the </w:t>
      </w:r>
      <w:r w:rsidRPr="004A4D63">
        <w:rPr>
          <w:sz w:val="28"/>
          <w:szCs w:val="28"/>
        </w:rPr>
        <w:t xml:space="preserve">President </w:t>
      </w:r>
      <w:r w:rsidR="004E334C" w:rsidRPr="004A4D63">
        <w:rPr>
          <w:sz w:val="28"/>
          <w:szCs w:val="28"/>
        </w:rPr>
        <w:t>exert any meaningful control over enforcement discretion</w:t>
      </w:r>
      <w:r w:rsidRPr="004A4D63">
        <w:rPr>
          <w:sz w:val="28"/>
          <w:szCs w:val="28"/>
        </w:rPr>
        <w:t xml:space="preserve"> in individual cases</w:t>
      </w:r>
      <w:r w:rsidR="004E334C" w:rsidRPr="004A4D63">
        <w:rPr>
          <w:sz w:val="28"/>
          <w:szCs w:val="28"/>
        </w:rPr>
        <w:t>; indeed</w:t>
      </w:r>
      <w:r w:rsidR="00044990" w:rsidRPr="004A4D63">
        <w:rPr>
          <w:sz w:val="28"/>
          <w:szCs w:val="28"/>
        </w:rPr>
        <w:t>,</w:t>
      </w:r>
      <w:r w:rsidR="004E334C" w:rsidRPr="004A4D63">
        <w:rPr>
          <w:sz w:val="28"/>
          <w:szCs w:val="28"/>
        </w:rPr>
        <w:t xml:space="preserve"> it would be improper for those bodies to interfere in a pending adjudicatory process.</w:t>
      </w:r>
      <w:r w:rsidR="00044990" w:rsidRPr="004A4D63">
        <w:rPr>
          <w:rStyle w:val="FootnoteReference"/>
          <w:sz w:val="28"/>
          <w:szCs w:val="28"/>
        </w:rPr>
        <w:footnoteReference w:id="84"/>
      </w:r>
      <w:r w:rsidR="004E334C" w:rsidRPr="004A4D63">
        <w:rPr>
          <w:sz w:val="28"/>
          <w:szCs w:val="28"/>
        </w:rPr>
        <w:t xml:space="preserve"> </w:t>
      </w:r>
    </w:p>
    <w:p w14:paraId="13931899" w14:textId="77777777" w:rsidR="00C43D9D" w:rsidRPr="004A4D63" w:rsidRDefault="005F56EB" w:rsidP="0065383A">
      <w:pPr>
        <w:spacing w:line="480" w:lineRule="auto"/>
        <w:rPr>
          <w:sz w:val="28"/>
          <w:szCs w:val="28"/>
        </w:rPr>
      </w:pPr>
      <w:r w:rsidRPr="004A4D63">
        <w:rPr>
          <w:sz w:val="28"/>
          <w:szCs w:val="28"/>
        </w:rPr>
        <w:lastRenderedPageBreak/>
        <w:tab/>
      </w:r>
      <w:r w:rsidR="008E514E" w:rsidRPr="004A4D63">
        <w:rPr>
          <w:sz w:val="28"/>
          <w:szCs w:val="28"/>
        </w:rPr>
        <w:t>T</w:t>
      </w:r>
      <w:r w:rsidRPr="004A4D63">
        <w:rPr>
          <w:sz w:val="28"/>
          <w:szCs w:val="28"/>
        </w:rPr>
        <w:t xml:space="preserve">he charging process is largely concealed from the public and from targets. An agency can close the meeting at which it </w:t>
      </w:r>
      <w:r w:rsidR="006A3573" w:rsidRPr="004A4D63">
        <w:rPr>
          <w:sz w:val="28"/>
          <w:szCs w:val="28"/>
        </w:rPr>
        <w:t xml:space="preserve">considers whether </w:t>
      </w:r>
      <w:r w:rsidRPr="004A4D63">
        <w:rPr>
          <w:sz w:val="28"/>
          <w:szCs w:val="28"/>
        </w:rPr>
        <w:t>to take enforcement action</w:t>
      </w:r>
      <w:r w:rsidRPr="004A4D63">
        <w:rPr>
          <w:rStyle w:val="FootnoteReference"/>
          <w:sz w:val="28"/>
          <w:szCs w:val="28"/>
        </w:rPr>
        <w:footnoteReference w:id="85"/>
      </w:r>
      <w:r w:rsidRPr="004A4D63">
        <w:rPr>
          <w:sz w:val="28"/>
          <w:szCs w:val="28"/>
        </w:rPr>
        <w:t xml:space="preserve"> (in fact at most agencies these decisions are made by notational voting, not in meetings). Staff memoranda recommending enforcement are exempt from FOIA disclosure.</w:t>
      </w:r>
      <w:r w:rsidRPr="004A4D63">
        <w:rPr>
          <w:rStyle w:val="FootnoteReference"/>
          <w:sz w:val="28"/>
          <w:szCs w:val="28"/>
        </w:rPr>
        <w:footnoteReference w:id="86"/>
      </w:r>
      <w:r w:rsidR="008E514E" w:rsidRPr="004A4D63">
        <w:rPr>
          <w:sz w:val="28"/>
          <w:szCs w:val="28"/>
        </w:rPr>
        <w:t xml:space="preserve"> </w:t>
      </w:r>
    </w:p>
    <w:p w14:paraId="7FAF3F35" w14:textId="1AEFCC7E" w:rsidR="00602D7E" w:rsidRPr="004A4D63" w:rsidRDefault="00C43D9D" w:rsidP="0065383A">
      <w:pPr>
        <w:spacing w:line="480" w:lineRule="auto"/>
        <w:rPr>
          <w:sz w:val="28"/>
          <w:szCs w:val="28"/>
        </w:rPr>
      </w:pPr>
      <w:r w:rsidRPr="004A4D63">
        <w:rPr>
          <w:sz w:val="28"/>
          <w:szCs w:val="28"/>
        </w:rPr>
        <w:tab/>
      </w:r>
      <w:r w:rsidR="00727246" w:rsidRPr="004A4D63">
        <w:rPr>
          <w:sz w:val="28"/>
          <w:szCs w:val="28"/>
        </w:rPr>
        <w:t xml:space="preserve">Because no </w:t>
      </w:r>
      <w:r w:rsidR="0076679B" w:rsidRPr="004A4D63">
        <w:rPr>
          <w:sz w:val="28"/>
          <w:szCs w:val="28"/>
        </w:rPr>
        <w:t xml:space="preserve">external </w:t>
      </w:r>
      <w:r w:rsidR="00727246" w:rsidRPr="004A4D63">
        <w:rPr>
          <w:sz w:val="28"/>
          <w:szCs w:val="28"/>
        </w:rPr>
        <w:t xml:space="preserve">checking mechanisms exist, </w:t>
      </w:r>
      <w:r w:rsidR="00B50602" w:rsidRPr="004A4D63">
        <w:rPr>
          <w:sz w:val="28"/>
          <w:szCs w:val="28"/>
        </w:rPr>
        <w:t xml:space="preserve">agencies should generate internal checks on </w:t>
      </w:r>
      <w:r w:rsidR="0076679B" w:rsidRPr="004A4D63">
        <w:rPr>
          <w:sz w:val="28"/>
          <w:szCs w:val="28"/>
        </w:rPr>
        <w:t xml:space="preserve">the prosecutorial </w:t>
      </w:r>
      <w:r w:rsidR="00B50602" w:rsidRPr="004A4D63">
        <w:rPr>
          <w:sz w:val="28"/>
          <w:szCs w:val="28"/>
        </w:rPr>
        <w:t>process.</w:t>
      </w:r>
      <w:r w:rsidR="00ED01EA" w:rsidRPr="004A4D63">
        <w:rPr>
          <w:rStyle w:val="FootnoteReference"/>
          <w:sz w:val="28"/>
          <w:szCs w:val="28"/>
        </w:rPr>
        <w:footnoteReference w:id="87"/>
      </w:r>
      <w:r w:rsidR="00C1478B" w:rsidRPr="004A4D63">
        <w:rPr>
          <w:sz w:val="28"/>
          <w:szCs w:val="28"/>
        </w:rPr>
        <w:t xml:space="preserve"> </w:t>
      </w:r>
      <w:r w:rsidR="00646C67" w:rsidRPr="004A4D63">
        <w:rPr>
          <w:sz w:val="28"/>
          <w:szCs w:val="28"/>
        </w:rPr>
        <w:t xml:space="preserve">Such checking practices </w:t>
      </w:r>
      <w:r w:rsidR="004F7DB2" w:rsidRPr="004A4D63">
        <w:rPr>
          <w:sz w:val="28"/>
          <w:szCs w:val="28"/>
        </w:rPr>
        <w:t>are</w:t>
      </w:r>
      <w:r w:rsidR="004564BB" w:rsidRPr="004A4D63">
        <w:rPr>
          <w:sz w:val="28"/>
          <w:szCs w:val="28"/>
        </w:rPr>
        <w:t xml:space="preserve"> referred to as</w:t>
      </w:r>
      <w:r w:rsidR="004F7DB2" w:rsidRPr="004A4D63">
        <w:rPr>
          <w:sz w:val="28"/>
          <w:szCs w:val="28"/>
        </w:rPr>
        <w:t xml:space="preserve"> “internal administrative law,”</w:t>
      </w:r>
      <w:r w:rsidR="00DA1408" w:rsidRPr="004A4D63">
        <w:rPr>
          <w:rStyle w:val="FootnoteReference"/>
          <w:sz w:val="28"/>
          <w:szCs w:val="28"/>
        </w:rPr>
        <w:footnoteReference w:id="88"/>
      </w:r>
      <w:r w:rsidR="00DA1408" w:rsidRPr="004A4D63">
        <w:rPr>
          <w:sz w:val="28"/>
          <w:szCs w:val="28"/>
        </w:rPr>
        <w:t xml:space="preserve"> </w:t>
      </w:r>
      <w:r w:rsidR="00A368B6" w:rsidRPr="004A4D63">
        <w:rPr>
          <w:sz w:val="28"/>
          <w:szCs w:val="28"/>
        </w:rPr>
        <w:t xml:space="preserve">meaning </w:t>
      </w:r>
      <w:r w:rsidR="00B67CC7" w:rsidRPr="004A4D63">
        <w:rPr>
          <w:sz w:val="28"/>
          <w:szCs w:val="28"/>
        </w:rPr>
        <w:t>procedures created by the agency itself</w:t>
      </w:r>
      <w:r w:rsidR="00CF1D25">
        <w:rPr>
          <w:sz w:val="28"/>
          <w:szCs w:val="28"/>
        </w:rPr>
        <w:t xml:space="preserve"> </w:t>
      </w:r>
      <w:r w:rsidR="00CF1D25" w:rsidRPr="004A4D63">
        <w:rPr>
          <w:sz w:val="28"/>
          <w:szCs w:val="28"/>
        </w:rPr>
        <w:t xml:space="preserve">that the agency is not legally required to provide. </w:t>
      </w:r>
      <w:r w:rsidR="004564BB" w:rsidRPr="004A4D63">
        <w:rPr>
          <w:sz w:val="28"/>
          <w:szCs w:val="28"/>
        </w:rPr>
        <w:t xml:space="preserve"> Such procedures might </w:t>
      </w:r>
      <w:r w:rsidR="00B67CC7" w:rsidRPr="004A4D63">
        <w:rPr>
          <w:sz w:val="28"/>
          <w:szCs w:val="28"/>
        </w:rPr>
        <w:t>limit the discretion of agency heads or staff</w:t>
      </w:r>
      <w:r w:rsidR="007F02DF" w:rsidRPr="004A4D63">
        <w:rPr>
          <w:sz w:val="28"/>
          <w:szCs w:val="28"/>
        </w:rPr>
        <w:t xml:space="preserve">, </w:t>
      </w:r>
      <w:r w:rsidR="00DE1103" w:rsidRPr="004A4D63">
        <w:rPr>
          <w:sz w:val="28"/>
          <w:szCs w:val="28"/>
        </w:rPr>
        <w:t xml:space="preserve">allow monitoring by superiors of </w:t>
      </w:r>
      <w:r w:rsidR="00646C67" w:rsidRPr="004A4D63">
        <w:rPr>
          <w:sz w:val="28"/>
          <w:szCs w:val="28"/>
        </w:rPr>
        <w:t xml:space="preserve">staff </w:t>
      </w:r>
      <w:r w:rsidR="00DE1103" w:rsidRPr="004A4D63">
        <w:rPr>
          <w:sz w:val="28"/>
          <w:szCs w:val="28"/>
        </w:rPr>
        <w:t xml:space="preserve">discretionary </w:t>
      </w:r>
      <w:r w:rsidR="00646C67" w:rsidRPr="004A4D63">
        <w:rPr>
          <w:sz w:val="28"/>
          <w:szCs w:val="28"/>
        </w:rPr>
        <w:t xml:space="preserve">decisions, </w:t>
      </w:r>
      <w:r w:rsidR="004564BB" w:rsidRPr="004A4D63">
        <w:rPr>
          <w:sz w:val="28"/>
          <w:szCs w:val="28"/>
        </w:rPr>
        <w:t xml:space="preserve">or </w:t>
      </w:r>
      <w:r w:rsidR="00B67CC7" w:rsidRPr="004A4D63">
        <w:rPr>
          <w:sz w:val="28"/>
          <w:szCs w:val="28"/>
        </w:rPr>
        <w:t xml:space="preserve">provide protections for </w:t>
      </w:r>
      <w:r w:rsidR="00F91ACE" w:rsidRPr="004A4D63">
        <w:rPr>
          <w:sz w:val="28"/>
          <w:szCs w:val="28"/>
        </w:rPr>
        <w:t xml:space="preserve">regulated parties and </w:t>
      </w:r>
      <w:r w:rsidR="0076679B" w:rsidRPr="004A4D63">
        <w:rPr>
          <w:sz w:val="28"/>
          <w:szCs w:val="28"/>
        </w:rPr>
        <w:t xml:space="preserve">regulatory </w:t>
      </w:r>
      <w:r w:rsidR="00F91ACE" w:rsidRPr="004A4D63">
        <w:rPr>
          <w:sz w:val="28"/>
          <w:szCs w:val="28"/>
        </w:rPr>
        <w:t>beneficiaries</w:t>
      </w:r>
      <w:r w:rsidR="00CF1D25">
        <w:rPr>
          <w:sz w:val="28"/>
          <w:szCs w:val="28"/>
        </w:rPr>
        <w:t>.</w:t>
      </w:r>
      <w:r w:rsidR="00F91ACE" w:rsidRPr="004A4D63">
        <w:rPr>
          <w:sz w:val="28"/>
          <w:szCs w:val="28"/>
        </w:rPr>
        <w:t xml:space="preserve"> </w:t>
      </w:r>
    </w:p>
    <w:p w14:paraId="7DD2D2FB" w14:textId="244C732B" w:rsidR="009F4207" w:rsidRPr="004A4D63" w:rsidRDefault="00746353" w:rsidP="0065383A">
      <w:pPr>
        <w:spacing w:line="480" w:lineRule="auto"/>
        <w:rPr>
          <w:b/>
          <w:bCs/>
          <w:sz w:val="28"/>
          <w:szCs w:val="28"/>
        </w:rPr>
      </w:pPr>
      <w:r w:rsidRPr="004A4D63">
        <w:rPr>
          <w:b/>
          <w:bCs/>
          <w:sz w:val="28"/>
          <w:szCs w:val="28"/>
        </w:rPr>
        <w:t>B</w:t>
      </w:r>
      <w:r w:rsidR="009F4207" w:rsidRPr="004A4D63">
        <w:rPr>
          <w:b/>
          <w:bCs/>
          <w:sz w:val="28"/>
          <w:szCs w:val="28"/>
        </w:rPr>
        <w:t xml:space="preserve">. </w:t>
      </w:r>
      <w:r w:rsidR="006A0B16" w:rsidRPr="004A4D63">
        <w:rPr>
          <w:b/>
          <w:bCs/>
          <w:sz w:val="28"/>
          <w:szCs w:val="28"/>
        </w:rPr>
        <w:t xml:space="preserve">THE CASE FOR </w:t>
      </w:r>
      <w:r w:rsidR="002A7803" w:rsidRPr="004A4D63">
        <w:rPr>
          <w:b/>
          <w:bCs/>
          <w:sz w:val="28"/>
          <w:szCs w:val="28"/>
        </w:rPr>
        <w:t>GRE</w:t>
      </w:r>
      <w:r w:rsidR="00D75EB0" w:rsidRPr="004A4D63">
        <w:rPr>
          <w:b/>
          <w:bCs/>
          <w:sz w:val="28"/>
          <w:szCs w:val="28"/>
        </w:rPr>
        <w:t xml:space="preserve">ENLIGHTING </w:t>
      </w:r>
    </w:p>
    <w:p w14:paraId="3CBA526D" w14:textId="2501FB47" w:rsidR="00D75EB0" w:rsidRPr="004A4D63" w:rsidRDefault="006A0B16" w:rsidP="0065383A">
      <w:pPr>
        <w:spacing w:line="480" w:lineRule="auto"/>
        <w:rPr>
          <w:sz w:val="28"/>
          <w:szCs w:val="28"/>
        </w:rPr>
      </w:pPr>
      <w:r w:rsidRPr="004A4D63">
        <w:rPr>
          <w:sz w:val="28"/>
          <w:szCs w:val="28"/>
        </w:rPr>
        <w:lastRenderedPageBreak/>
        <w:tab/>
      </w:r>
      <w:r w:rsidR="00D75EB0" w:rsidRPr="004A4D63">
        <w:rPr>
          <w:sz w:val="28"/>
          <w:szCs w:val="28"/>
        </w:rPr>
        <w:t>The greenlighting function has important structural advantages as an accountability mechanism.</w:t>
      </w:r>
      <w:r w:rsidR="00D75EB0" w:rsidRPr="004A4D63">
        <w:rPr>
          <w:rStyle w:val="FootnoteReference"/>
          <w:sz w:val="28"/>
          <w:szCs w:val="28"/>
        </w:rPr>
        <w:footnoteReference w:id="89"/>
      </w:r>
      <w:r w:rsidR="00D75EB0" w:rsidRPr="004A4D63">
        <w:rPr>
          <w:sz w:val="28"/>
          <w:szCs w:val="28"/>
        </w:rPr>
        <w:t xml:space="preserve"> For a number of reasons, the </w:t>
      </w:r>
      <w:r w:rsidR="00F54F18" w:rsidRPr="004A4D63">
        <w:rPr>
          <w:sz w:val="28"/>
          <w:szCs w:val="28"/>
        </w:rPr>
        <w:t xml:space="preserve">agency heads </w:t>
      </w:r>
      <w:r w:rsidR="00D75EB0" w:rsidRPr="004A4D63">
        <w:rPr>
          <w:sz w:val="28"/>
          <w:szCs w:val="28"/>
        </w:rPr>
        <w:t xml:space="preserve">rather than the staff </w:t>
      </w:r>
      <w:r w:rsidR="00F54F18" w:rsidRPr="004A4D63">
        <w:rPr>
          <w:sz w:val="28"/>
          <w:szCs w:val="28"/>
        </w:rPr>
        <w:t xml:space="preserve">should make the call when the agency’s enforcement caseload is small enough to allow </w:t>
      </w:r>
      <w:r w:rsidR="000868EA" w:rsidRPr="004A4D63">
        <w:rPr>
          <w:sz w:val="28"/>
          <w:szCs w:val="28"/>
        </w:rPr>
        <w:t>the</w:t>
      </w:r>
      <w:r w:rsidR="00D104CD" w:rsidRPr="004A4D63">
        <w:rPr>
          <w:sz w:val="28"/>
          <w:szCs w:val="28"/>
        </w:rPr>
        <w:t>m</w:t>
      </w:r>
      <w:r w:rsidR="000868EA" w:rsidRPr="004A4D63">
        <w:rPr>
          <w:sz w:val="28"/>
          <w:szCs w:val="28"/>
        </w:rPr>
        <w:t xml:space="preserve"> </w:t>
      </w:r>
      <w:r w:rsidR="00F54F18" w:rsidRPr="004A4D63">
        <w:rPr>
          <w:sz w:val="28"/>
          <w:szCs w:val="28"/>
        </w:rPr>
        <w:t>to do so.</w:t>
      </w:r>
      <w:r w:rsidR="00EB1791" w:rsidRPr="004A4D63">
        <w:rPr>
          <w:rStyle w:val="FootnoteReference"/>
          <w:sz w:val="28"/>
          <w:szCs w:val="28"/>
        </w:rPr>
        <w:footnoteReference w:id="90"/>
      </w:r>
      <w:r w:rsidR="00F54F18" w:rsidRPr="004A4D63">
        <w:rPr>
          <w:sz w:val="28"/>
          <w:szCs w:val="28"/>
        </w:rPr>
        <w:t xml:space="preserve"> </w:t>
      </w:r>
      <w:r w:rsidR="000547D8" w:rsidRPr="004A4D63">
        <w:rPr>
          <w:sz w:val="28"/>
          <w:szCs w:val="28"/>
        </w:rPr>
        <w:t xml:space="preserve"> </w:t>
      </w:r>
    </w:p>
    <w:p w14:paraId="59A40A75" w14:textId="5EE340EC" w:rsidR="00FD029C" w:rsidRPr="004A4D63" w:rsidRDefault="00D75EB0" w:rsidP="0065383A">
      <w:pPr>
        <w:spacing w:line="480" w:lineRule="auto"/>
        <w:rPr>
          <w:sz w:val="28"/>
          <w:szCs w:val="28"/>
        </w:rPr>
      </w:pPr>
      <w:r w:rsidRPr="004A4D63">
        <w:rPr>
          <w:sz w:val="28"/>
          <w:szCs w:val="28"/>
        </w:rPr>
        <w:tab/>
        <w:t xml:space="preserve">As pointed out earlier, </w:t>
      </w:r>
      <w:r w:rsidR="00727246" w:rsidRPr="004A4D63">
        <w:rPr>
          <w:sz w:val="28"/>
          <w:szCs w:val="28"/>
        </w:rPr>
        <w:t xml:space="preserve">from the point of view of the target of administrative enforcement, </w:t>
      </w:r>
      <w:r w:rsidRPr="004A4D63">
        <w:rPr>
          <w:sz w:val="28"/>
          <w:szCs w:val="28"/>
        </w:rPr>
        <w:t xml:space="preserve">the charging decision </w:t>
      </w:r>
      <w:r w:rsidR="00727246" w:rsidRPr="004A4D63">
        <w:rPr>
          <w:sz w:val="28"/>
          <w:szCs w:val="28"/>
        </w:rPr>
        <w:t xml:space="preserve">is often </w:t>
      </w:r>
      <w:r w:rsidRPr="004A4D63">
        <w:rPr>
          <w:sz w:val="28"/>
          <w:szCs w:val="28"/>
        </w:rPr>
        <w:t>the most important procedural event in the entire regulatory process.</w:t>
      </w:r>
      <w:r w:rsidRPr="004A4D63">
        <w:rPr>
          <w:rStyle w:val="FootnoteReference"/>
          <w:sz w:val="28"/>
          <w:szCs w:val="28"/>
        </w:rPr>
        <w:footnoteReference w:id="91"/>
      </w:r>
      <w:r w:rsidRPr="004A4D63">
        <w:rPr>
          <w:sz w:val="28"/>
          <w:szCs w:val="28"/>
        </w:rPr>
        <w:t xml:space="preserve"> </w:t>
      </w:r>
      <w:r w:rsidR="004B325B" w:rsidRPr="004A4D63">
        <w:rPr>
          <w:sz w:val="28"/>
          <w:szCs w:val="28"/>
        </w:rPr>
        <w:t>I</w:t>
      </w:r>
      <w:r w:rsidR="00FD029C" w:rsidRPr="004A4D63">
        <w:rPr>
          <w:sz w:val="28"/>
          <w:szCs w:val="28"/>
        </w:rPr>
        <w:t xml:space="preserve">f the heads believe a case brought to them by prosecutors is weak or ill-advised, or does not align with agency head priorities, the case should be stopped before it goes any further. In such cases, the target should not be forced to </w:t>
      </w:r>
      <w:r w:rsidR="000E26D2" w:rsidRPr="004A4D63">
        <w:rPr>
          <w:sz w:val="28"/>
          <w:szCs w:val="28"/>
        </w:rPr>
        <w:t xml:space="preserve">agree to a </w:t>
      </w:r>
      <w:r w:rsidR="00FD029C" w:rsidRPr="004A4D63">
        <w:rPr>
          <w:sz w:val="28"/>
          <w:szCs w:val="28"/>
        </w:rPr>
        <w:t>settle</w:t>
      </w:r>
      <w:r w:rsidR="000E26D2" w:rsidRPr="004A4D63">
        <w:rPr>
          <w:sz w:val="28"/>
          <w:szCs w:val="28"/>
        </w:rPr>
        <w:t>ment</w:t>
      </w:r>
      <w:r w:rsidR="00FD029C" w:rsidRPr="004A4D63">
        <w:rPr>
          <w:sz w:val="28"/>
          <w:szCs w:val="28"/>
        </w:rPr>
        <w:t xml:space="preserve"> and the agency should not embark on the costly adjudication process.</w:t>
      </w:r>
    </w:p>
    <w:p w14:paraId="098E9B10" w14:textId="23319B5E" w:rsidR="00F54F18" w:rsidRPr="004A4D63" w:rsidRDefault="00FD029C" w:rsidP="0065383A">
      <w:pPr>
        <w:spacing w:line="480" w:lineRule="auto"/>
        <w:rPr>
          <w:sz w:val="28"/>
          <w:szCs w:val="28"/>
        </w:rPr>
      </w:pPr>
      <w:r w:rsidRPr="004A4D63">
        <w:rPr>
          <w:sz w:val="28"/>
          <w:szCs w:val="28"/>
        </w:rPr>
        <w:tab/>
        <w:t>However, the argument for greenlighting goes well beyond the protection of private interests. An agency must adopt prosecutor</w:t>
      </w:r>
      <w:r w:rsidR="00164635" w:rsidRPr="004A4D63">
        <w:rPr>
          <w:sz w:val="28"/>
          <w:szCs w:val="28"/>
        </w:rPr>
        <w:t>ial</w:t>
      </w:r>
      <w:r w:rsidRPr="004A4D63">
        <w:rPr>
          <w:sz w:val="28"/>
          <w:szCs w:val="28"/>
        </w:rPr>
        <w:t xml:space="preserve"> priorities, since </w:t>
      </w:r>
      <w:r w:rsidR="00164635" w:rsidRPr="004A4D63">
        <w:rPr>
          <w:sz w:val="28"/>
          <w:szCs w:val="28"/>
        </w:rPr>
        <w:t xml:space="preserve">its resources will never be adequate to prosecute every case that might involve </w:t>
      </w:r>
      <w:r w:rsidR="00EF496A" w:rsidRPr="004A4D63">
        <w:rPr>
          <w:sz w:val="28"/>
          <w:szCs w:val="28"/>
        </w:rPr>
        <w:t xml:space="preserve">a </w:t>
      </w:r>
      <w:r w:rsidR="00164635" w:rsidRPr="004A4D63">
        <w:rPr>
          <w:sz w:val="28"/>
          <w:szCs w:val="28"/>
        </w:rPr>
        <w:t xml:space="preserve">regulatory </w:t>
      </w:r>
      <w:r w:rsidR="00164635" w:rsidRPr="004A4D63">
        <w:rPr>
          <w:sz w:val="28"/>
          <w:szCs w:val="28"/>
        </w:rPr>
        <w:lastRenderedPageBreak/>
        <w:t>violation.</w:t>
      </w:r>
      <w:r w:rsidR="00164635" w:rsidRPr="004A4D63">
        <w:rPr>
          <w:rStyle w:val="FootnoteReference"/>
          <w:sz w:val="28"/>
          <w:szCs w:val="28"/>
        </w:rPr>
        <w:footnoteReference w:id="92"/>
      </w:r>
      <w:r w:rsidR="00164635" w:rsidRPr="004A4D63">
        <w:rPr>
          <w:sz w:val="28"/>
          <w:szCs w:val="28"/>
        </w:rPr>
        <w:t xml:space="preserve"> </w:t>
      </w:r>
      <w:r w:rsidRPr="004A4D63">
        <w:rPr>
          <w:sz w:val="28"/>
          <w:szCs w:val="28"/>
        </w:rPr>
        <w:t xml:space="preserve"> It is appropriate for agency heads </w:t>
      </w:r>
      <w:r w:rsidR="00EF496A" w:rsidRPr="004A4D63">
        <w:rPr>
          <w:sz w:val="28"/>
          <w:szCs w:val="28"/>
        </w:rPr>
        <w:t xml:space="preserve">rather than staff </w:t>
      </w:r>
      <w:r w:rsidRPr="004A4D63">
        <w:rPr>
          <w:sz w:val="28"/>
          <w:szCs w:val="28"/>
        </w:rPr>
        <w:t>to make th</w:t>
      </w:r>
      <w:r w:rsidR="000E26D2" w:rsidRPr="004A4D63">
        <w:rPr>
          <w:sz w:val="28"/>
          <w:szCs w:val="28"/>
        </w:rPr>
        <w:t xml:space="preserve">e call on </w:t>
      </w:r>
      <w:r w:rsidR="006373D7">
        <w:rPr>
          <w:sz w:val="28"/>
          <w:szCs w:val="28"/>
        </w:rPr>
        <w:t xml:space="preserve">the allocation of </w:t>
      </w:r>
      <w:r w:rsidR="000E26D2" w:rsidRPr="004A4D63">
        <w:rPr>
          <w:sz w:val="28"/>
          <w:szCs w:val="28"/>
        </w:rPr>
        <w:t>limited enforcement resources</w:t>
      </w:r>
      <w:r w:rsidR="006373D7">
        <w:rPr>
          <w:sz w:val="28"/>
          <w:szCs w:val="28"/>
        </w:rPr>
        <w:t>.</w:t>
      </w:r>
      <w:r w:rsidR="000E26D2" w:rsidRPr="004A4D63">
        <w:rPr>
          <w:sz w:val="28"/>
          <w:szCs w:val="28"/>
        </w:rPr>
        <w:t xml:space="preserve"> </w:t>
      </w:r>
      <w:r w:rsidRPr="004A4D63">
        <w:rPr>
          <w:sz w:val="28"/>
          <w:szCs w:val="28"/>
        </w:rPr>
        <w:t>Even more significant, c</w:t>
      </w:r>
      <w:r w:rsidR="000547D8" w:rsidRPr="004A4D63">
        <w:rPr>
          <w:sz w:val="28"/>
          <w:szCs w:val="28"/>
        </w:rPr>
        <w:t>ombined</w:t>
      </w:r>
      <w:r w:rsidR="002B2A01" w:rsidRPr="004A4D63">
        <w:rPr>
          <w:sz w:val="28"/>
          <w:szCs w:val="28"/>
        </w:rPr>
        <w:t>-</w:t>
      </w:r>
      <w:r w:rsidR="000547D8" w:rsidRPr="004A4D63">
        <w:rPr>
          <w:sz w:val="28"/>
          <w:szCs w:val="28"/>
        </w:rPr>
        <w:t>function agencies use adjudication for policymaking</w:t>
      </w:r>
      <w:r w:rsidRPr="004A4D63">
        <w:rPr>
          <w:sz w:val="28"/>
          <w:szCs w:val="28"/>
        </w:rPr>
        <w:t>, and the choice of which cases to prosecute is an essential element of th</w:t>
      </w:r>
      <w:r w:rsidR="00164635" w:rsidRPr="004A4D63">
        <w:rPr>
          <w:sz w:val="28"/>
          <w:szCs w:val="28"/>
        </w:rPr>
        <w:t xml:space="preserve">e policymaking </w:t>
      </w:r>
      <w:r w:rsidRPr="004A4D63">
        <w:rPr>
          <w:sz w:val="28"/>
          <w:szCs w:val="28"/>
        </w:rPr>
        <w:t xml:space="preserve">process. </w:t>
      </w:r>
      <w:r w:rsidR="006A0B16" w:rsidRPr="004A4D63">
        <w:rPr>
          <w:sz w:val="28"/>
          <w:szCs w:val="28"/>
        </w:rPr>
        <w:t xml:space="preserve">The balance of this section explores the arguments in favor of greenlighting in greater detail. </w:t>
      </w:r>
    </w:p>
    <w:p w14:paraId="3CF3C060" w14:textId="2DDC6D47" w:rsidR="00F54F18" w:rsidRPr="004A4D63" w:rsidRDefault="00F54F18" w:rsidP="0065383A">
      <w:pPr>
        <w:spacing w:line="480" w:lineRule="auto"/>
        <w:rPr>
          <w:sz w:val="28"/>
          <w:szCs w:val="28"/>
        </w:rPr>
      </w:pPr>
      <w:r w:rsidRPr="004A4D63">
        <w:rPr>
          <w:sz w:val="28"/>
          <w:szCs w:val="28"/>
        </w:rPr>
        <w:t xml:space="preserve">           1. </w:t>
      </w:r>
      <w:r w:rsidR="003B577A" w:rsidRPr="004A4D63">
        <w:rPr>
          <w:sz w:val="28"/>
          <w:szCs w:val="28"/>
        </w:rPr>
        <w:t>Principles of p</w:t>
      </w:r>
      <w:r w:rsidRPr="004A4D63">
        <w:rPr>
          <w:sz w:val="28"/>
          <w:szCs w:val="28"/>
        </w:rPr>
        <w:t>ublic administration</w:t>
      </w:r>
      <w:r w:rsidR="002B2A01" w:rsidRPr="004A4D63">
        <w:rPr>
          <w:rStyle w:val="FootnoteReference"/>
          <w:sz w:val="28"/>
          <w:szCs w:val="28"/>
        </w:rPr>
        <w:footnoteReference w:id="93"/>
      </w:r>
      <w:r w:rsidRPr="004A4D63">
        <w:rPr>
          <w:sz w:val="28"/>
          <w:szCs w:val="28"/>
        </w:rPr>
        <w:t xml:space="preserve"> </w:t>
      </w:r>
    </w:p>
    <w:p w14:paraId="5ECE1AB4" w14:textId="69CE19DB" w:rsidR="00F54F18" w:rsidRPr="004A4D63" w:rsidRDefault="00F54F18" w:rsidP="0065383A">
      <w:pPr>
        <w:spacing w:line="480" w:lineRule="auto"/>
        <w:rPr>
          <w:sz w:val="28"/>
          <w:szCs w:val="28"/>
        </w:rPr>
      </w:pPr>
      <w:r w:rsidRPr="004A4D63">
        <w:rPr>
          <w:sz w:val="28"/>
          <w:szCs w:val="28"/>
        </w:rPr>
        <w:tab/>
        <w:t xml:space="preserve">Accepted principles of public administration </w:t>
      </w:r>
      <w:r w:rsidR="006A0B16" w:rsidRPr="004A4D63">
        <w:rPr>
          <w:sz w:val="28"/>
          <w:szCs w:val="28"/>
        </w:rPr>
        <w:t xml:space="preserve">suggest </w:t>
      </w:r>
      <w:r w:rsidRPr="004A4D63">
        <w:rPr>
          <w:sz w:val="28"/>
          <w:szCs w:val="28"/>
        </w:rPr>
        <w:t xml:space="preserve">that </w:t>
      </w:r>
      <w:r w:rsidR="00646C67" w:rsidRPr="004A4D63">
        <w:rPr>
          <w:sz w:val="28"/>
          <w:szCs w:val="28"/>
        </w:rPr>
        <w:t>agency</w:t>
      </w:r>
      <w:r w:rsidR="00EA60B2">
        <w:rPr>
          <w:sz w:val="28"/>
          <w:szCs w:val="28"/>
        </w:rPr>
        <w:t xml:space="preserve"> </w:t>
      </w:r>
      <w:r w:rsidR="00646C67" w:rsidRPr="004A4D63">
        <w:rPr>
          <w:sz w:val="28"/>
          <w:szCs w:val="28"/>
        </w:rPr>
        <w:t>head</w:t>
      </w:r>
      <w:r w:rsidR="006373D7">
        <w:rPr>
          <w:sz w:val="28"/>
          <w:szCs w:val="28"/>
        </w:rPr>
        <w:t xml:space="preserve">s must </w:t>
      </w:r>
      <w:r w:rsidR="00646C67" w:rsidRPr="004A4D63">
        <w:rPr>
          <w:sz w:val="28"/>
          <w:szCs w:val="28"/>
        </w:rPr>
        <w:t xml:space="preserve"> </w:t>
      </w:r>
      <w:r w:rsidRPr="004A4D63">
        <w:rPr>
          <w:sz w:val="28"/>
          <w:szCs w:val="28"/>
        </w:rPr>
        <w:t>supervis</w:t>
      </w:r>
      <w:r w:rsidR="006373D7">
        <w:rPr>
          <w:sz w:val="28"/>
          <w:szCs w:val="28"/>
        </w:rPr>
        <w:t xml:space="preserve">e </w:t>
      </w:r>
      <w:r w:rsidRPr="004A4D63">
        <w:rPr>
          <w:sz w:val="28"/>
          <w:szCs w:val="28"/>
        </w:rPr>
        <w:t>staff decisionmakers in hierarchical government organization</w:t>
      </w:r>
      <w:r w:rsidR="00EA60B2">
        <w:rPr>
          <w:sz w:val="28"/>
          <w:szCs w:val="28"/>
        </w:rPr>
        <w:t>s</w:t>
      </w:r>
      <w:r w:rsidRPr="004A4D63">
        <w:rPr>
          <w:sz w:val="28"/>
          <w:szCs w:val="28"/>
        </w:rPr>
        <w:t xml:space="preserve"> agencies that exercise delegated </w:t>
      </w:r>
      <w:r w:rsidR="0090411B" w:rsidRPr="004A4D63">
        <w:rPr>
          <w:sz w:val="28"/>
          <w:szCs w:val="28"/>
        </w:rPr>
        <w:t>power</w:t>
      </w:r>
      <w:r w:rsidR="00EA60B2">
        <w:rPr>
          <w:sz w:val="28"/>
          <w:szCs w:val="28"/>
        </w:rPr>
        <w:t>.</w:t>
      </w:r>
      <w:r w:rsidR="00EA60B2" w:rsidRPr="004A4D63">
        <w:rPr>
          <w:rStyle w:val="FootnoteReference"/>
          <w:sz w:val="28"/>
          <w:szCs w:val="28"/>
        </w:rPr>
        <w:footnoteReference w:id="94"/>
      </w:r>
      <w:r w:rsidR="0090411B" w:rsidRPr="004A4D63">
        <w:rPr>
          <w:sz w:val="28"/>
          <w:szCs w:val="28"/>
        </w:rPr>
        <w:t xml:space="preserve"> </w:t>
      </w:r>
      <w:r w:rsidR="00EA60B2">
        <w:rPr>
          <w:sz w:val="28"/>
          <w:szCs w:val="28"/>
        </w:rPr>
        <w:t xml:space="preserve">  Supervision is essential </w:t>
      </w:r>
      <w:r w:rsidR="00BA7AD5" w:rsidRPr="004A4D63">
        <w:rPr>
          <w:sz w:val="28"/>
          <w:szCs w:val="28"/>
        </w:rPr>
        <w:t xml:space="preserve">to </w:t>
      </w:r>
      <w:r w:rsidR="00726F75">
        <w:rPr>
          <w:sz w:val="28"/>
          <w:szCs w:val="28"/>
        </w:rPr>
        <w:t>e</w:t>
      </w:r>
      <w:r w:rsidR="00EA60B2">
        <w:rPr>
          <w:sz w:val="28"/>
          <w:szCs w:val="28"/>
        </w:rPr>
        <w:t xml:space="preserve">nsure </w:t>
      </w:r>
      <w:r w:rsidR="002062CC" w:rsidRPr="004A4D63">
        <w:rPr>
          <w:sz w:val="28"/>
          <w:szCs w:val="28"/>
        </w:rPr>
        <w:t xml:space="preserve">that </w:t>
      </w:r>
      <w:r w:rsidRPr="004A4D63">
        <w:rPr>
          <w:sz w:val="28"/>
          <w:szCs w:val="28"/>
        </w:rPr>
        <w:t xml:space="preserve">the priorities of agency heads are </w:t>
      </w:r>
      <w:r w:rsidR="00541BAC">
        <w:rPr>
          <w:sz w:val="28"/>
          <w:szCs w:val="28"/>
        </w:rPr>
        <w:t>implemented</w:t>
      </w:r>
      <w:r w:rsidR="00EA60B2">
        <w:rPr>
          <w:sz w:val="28"/>
          <w:szCs w:val="28"/>
        </w:rPr>
        <w:t xml:space="preserve"> and that the norms and practices of the agency have been respected. </w:t>
      </w:r>
      <w:r w:rsidR="00541BAC">
        <w:rPr>
          <w:sz w:val="28"/>
          <w:szCs w:val="28"/>
        </w:rPr>
        <w:t>A</w:t>
      </w:r>
      <w:r w:rsidRPr="004A4D63">
        <w:rPr>
          <w:sz w:val="28"/>
          <w:szCs w:val="28"/>
        </w:rPr>
        <w:t xml:space="preserve">gency head supervision is </w:t>
      </w:r>
      <w:r w:rsidR="002062CC" w:rsidRPr="004A4D63">
        <w:rPr>
          <w:sz w:val="28"/>
          <w:szCs w:val="28"/>
        </w:rPr>
        <w:t xml:space="preserve">particularly </w:t>
      </w:r>
      <w:r w:rsidRPr="004A4D63">
        <w:rPr>
          <w:sz w:val="28"/>
          <w:szCs w:val="28"/>
        </w:rPr>
        <w:t>vital when it concerns functions like charging decisions that are unconstrained by external judicial, executive</w:t>
      </w:r>
      <w:r w:rsidR="00C138ED" w:rsidRPr="004A4D63">
        <w:rPr>
          <w:sz w:val="28"/>
          <w:szCs w:val="28"/>
        </w:rPr>
        <w:t>,</w:t>
      </w:r>
      <w:r w:rsidRPr="004A4D63">
        <w:rPr>
          <w:sz w:val="28"/>
          <w:szCs w:val="28"/>
        </w:rPr>
        <w:t xml:space="preserve"> legislative</w:t>
      </w:r>
      <w:r w:rsidR="00C138ED" w:rsidRPr="004A4D63">
        <w:rPr>
          <w:sz w:val="28"/>
          <w:szCs w:val="28"/>
        </w:rPr>
        <w:t>, or political</w:t>
      </w:r>
      <w:r w:rsidRPr="004A4D63">
        <w:rPr>
          <w:sz w:val="28"/>
          <w:szCs w:val="28"/>
        </w:rPr>
        <w:t xml:space="preserve"> checks.</w:t>
      </w:r>
      <w:r w:rsidR="006A0B16" w:rsidRPr="004A4D63">
        <w:rPr>
          <w:rStyle w:val="FootnoteReference"/>
          <w:sz w:val="28"/>
          <w:szCs w:val="28"/>
        </w:rPr>
        <w:footnoteReference w:id="95"/>
      </w:r>
      <w:r w:rsidRPr="004A4D63">
        <w:rPr>
          <w:sz w:val="28"/>
          <w:szCs w:val="28"/>
        </w:rPr>
        <w:t xml:space="preserve">  Of course, supervision can take many forms, but </w:t>
      </w:r>
      <w:r w:rsidR="00BA7AD5" w:rsidRPr="004A4D63">
        <w:rPr>
          <w:sz w:val="28"/>
          <w:szCs w:val="28"/>
        </w:rPr>
        <w:t xml:space="preserve">greenlighting </w:t>
      </w:r>
      <w:r w:rsidRPr="004A4D63">
        <w:rPr>
          <w:sz w:val="28"/>
          <w:szCs w:val="28"/>
        </w:rPr>
        <w:t xml:space="preserve">is </w:t>
      </w:r>
      <w:r w:rsidR="0090411B" w:rsidRPr="004A4D63">
        <w:rPr>
          <w:sz w:val="28"/>
          <w:szCs w:val="28"/>
        </w:rPr>
        <w:t xml:space="preserve">one </w:t>
      </w:r>
      <w:r w:rsidRPr="004A4D63">
        <w:rPr>
          <w:sz w:val="28"/>
          <w:szCs w:val="28"/>
        </w:rPr>
        <w:t xml:space="preserve">effective method of accomplishing it. </w:t>
      </w:r>
    </w:p>
    <w:p w14:paraId="0B308152" w14:textId="77777777" w:rsidR="00A12A9C" w:rsidRPr="004A4D63" w:rsidRDefault="00F54F18" w:rsidP="0065383A">
      <w:pPr>
        <w:spacing w:line="480" w:lineRule="auto"/>
        <w:rPr>
          <w:sz w:val="28"/>
          <w:szCs w:val="28"/>
        </w:rPr>
      </w:pPr>
      <w:r w:rsidRPr="004A4D63">
        <w:rPr>
          <w:sz w:val="28"/>
          <w:szCs w:val="28"/>
        </w:rPr>
        <w:lastRenderedPageBreak/>
        <w:tab/>
        <w:t xml:space="preserve">The agency head approval process serves other goals </w:t>
      </w:r>
      <w:r w:rsidR="00815E38" w:rsidRPr="004A4D63">
        <w:rPr>
          <w:sz w:val="28"/>
          <w:szCs w:val="28"/>
        </w:rPr>
        <w:t xml:space="preserve">identified </w:t>
      </w:r>
      <w:r w:rsidRPr="004A4D63">
        <w:rPr>
          <w:sz w:val="28"/>
          <w:szCs w:val="28"/>
        </w:rPr>
        <w:t>by public administration scholars. William Simon</w:t>
      </w:r>
      <w:r w:rsidR="00C138ED" w:rsidRPr="004A4D63">
        <w:rPr>
          <w:sz w:val="28"/>
          <w:szCs w:val="28"/>
        </w:rPr>
        <w:t xml:space="preserve"> identifies a set of practices describe</w:t>
      </w:r>
      <w:r w:rsidR="00BF0A30" w:rsidRPr="004A4D63">
        <w:rPr>
          <w:sz w:val="28"/>
          <w:szCs w:val="28"/>
        </w:rPr>
        <w:t>d</w:t>
      </w:r>
      <w:r w:rsidR="00C138ED" w:rsidRPr="004A4D63">
        <w:rPr>
          <w:sz w:val="28"/>
          <w:szCs w:val="28"/>
        </w:rPr>
        <w:t xml:space="preserve"> as </w:t>
      </w:r>
      <w:r w:rsidR="00414915" w:rsidRPr="004A4D63">
        <w:rPr>
          <w:sz w:val="28"/>
          <w:szCs w:val="28"/>
        </w:rPr>
        <w:t>“</w:t>
      </w:r>
      <w:r w:rsidR="00C138ED" w:rsidRPr="004A4D63">
        <w:rPr>
          <w:sz w:val="28"/>
          <w:szCs w:val="28"/>
        </w:rPr>
        <w:t xml:space="preserve">post-bureaucratic </w:t>
      </w:r>
      <w:r w:rsidR="00414915" w:rsidRPr="004A4D63">
        <w:rPr>
          <w:sz w:val="28"/>
          <w:szCs w:val="28"/>
        </w:rPr>
        <w:t>organization.”</w:t>
      </w:r>
      <w:r w:rsidR="00736329" w:rsidRPr="004A4D63">
        <w:rPr>
          <w:rStyle w:val="FootnoteReference"/>
          <w:sz w:val="28"/>
          <w:szCs w:val="28"/>
        </w:rPr>
        <w:footnoteReference w:id="96"/>
      </w:r>
      <w:r w:rsidR="00414915" w:rsidRPr="004A4D63">
        <w:rPr>
          <w:sz w:val="28"/>
          <w:szCs w:val="28"/>
        </w:rPr>
        <w:t xml:space="preserve"> </w:t>
      </w:r>
      <w:r w:rsidR="00C138ED" w:rsidRPr="004A4D63">
        <w:rPr>
          <w:sz w:val="28"/>
          <w:szCs w:val="28"/>
        </w:rPr>
        <w:t>These practices depart from the traditional choice between professionalism (</w:t>
      </w:r>
      <w:r w:rsidR="00414915" w:rsidRPr="004A4D63">
        <w:rPr>
          <w:sz w:val="28"/>
          <w:szCs w:val="28"/>
        </w:rPr>
        <w:t xml:space="preserve">that allows professionals such as prosecutors to exercise </w:t>
      </w:r>
      <w:r w:rsidR="00C138ED" w:rsidRPr="004A4D63">
        <w:rPr>
          <w:sz w:val="28"/>
          <w:szCs w:val="28"/>
        </w:rPr>
        <w:t>unconstrained discretion</w:t>
      </w:r>
      <w:r w:rsidR="00414915" w:rsidRPr="004A4D63">
        <w:rPr>
          <w:sz w:val="28"/>
          <w:szCs w:val="28"/>
        </w:rPr>
        <w:t xml:space="preserve">) </w:t>
      </w:r>
      <w:r w:rsidR="00C138ED" w:rsidRPr="004A4D63">
        <w:rPr>
          <w:sz w:val="28"/>
          <w:szCs w:val="28"/>
        </w:rPr>
        <w:t xml:space="preserve">and strict hierarchical bureaucratic control.  </w:t>
      </w:r>
      <w:r w:rsidR="00414915" w:rsidRPr="004A4D63">
        <w:rPr>
          <w:sz w:val="28"/>
          <w:szCs w:val="28"/>
        </w:rPr>
        <w:t xml:space="preserve">Post-bureaucratic administration </w:t>
      </w:r>
      <w:r w:rsidR="0098657D" w:rsidRPr="004A4D63">
        <w:rPr>
          <w:sz w:val="28"/>
          <w:szCs w:val="28"/>
        </w:rPr>
        <w:t xml:space="preserve">entails transparency and </w:t>
      </w:r>
      <w:r w:rsidR="00BF0A30" w:rsidRPr="004A4D63">
        <w:rPr>
          <w:sz w:val="28"/>
          <w:szCs w:val="28"/>
        </w:rPr>
        <w:t xml:space="preserve">a requirement of </w:t>
      </w:r>
      <w:r w:rsidR="0098657D" w:rsidRPr="004A4D63">
        <w:rPr>
          <w:sz w:val="28"/>
          <w:szCs w:val="28"/>
        </w:rPr>
        <w:t xml:space="preserve">justification </w:t>
      </w:r>
      <w:r w:rsidR="00D85822" w:rsidRPr="004A4D63">
        <w:rPr>
          <w:sz w:val="28"/>
          <w:szCs w:val="28"/>
        </w:rPr>
        <w:t>for staff discretionary decisions</w:t>
      </w:r>
      <w:r w:rsidR="0098657D" w:rsidRPr="004A4D63">
        <w:rPr>
          <w:sz w:val="28"/>
          <w:szCs w:val="28"/>
        </w:rPr>
        <w:t>,</w:t>
      </w:r>
      <w:r w:rsidR="00D85822" w:rsidRPr="004A4D63">
        <w:rPr>
          <w:sz w:val="28"/>
          <w:szCs w:val="28"/>
        </w:rPr>
        <w:t xml:space="preserve"> </w:t>
      </w:r>
      <w:r w:rsidR="00F250C5" w:rsidRPr="004A4D63">
        <w:rPr>
          <w:sz w:val="28"/>
          <w:szCs w:val="28"/>
        </w:rPr>
        <w:t xml:space="preserve">representation of stakeholders, </w:t>
      </w:r>
      <w:r w:rsidR="00D85822" w:rsidRPr="004A4D63">
        <w:rPr>
          <w:sz w:val="28"/>
          <w:szCs w:val="28"/>
        </w:rPr>
        <w:t xml:space="preserve">and </w:t>
      </w:r>
      <w:r w:rsidR="001A55BE" w:rsidRPr="004A4D63">
        <w:rPr>
          <w:sz w:val="28"/>
          <w:szCs w:val="28"/>
        </w:rPr>
        <w:t>multi-disciplinary group decision-making</w:t>
      </w:r>
      <w:r w:rsidR="00414915" w:rsidRPr="004A4D63">
        <w:rPr>
          <w:sz w:val="28"/>
          <w:szCs w:val="28"/>
        </w:rPr>
        <w:t xml:space="preserve"> for evaluating </w:t>
      </w:r>
      <w:r w:rsidR="00BF0A30" w:rsidRPr="004A4D63">
        <w:rPr>
          <w:sz w:val="28"/>
          <w:szCs w:val="28"/>
        </w:rPr>
        <w:t xml:space="preserve">discretionary </w:t>
      </w:r>
      <w:r w:rsidR="00414915" w:rsidRPr="004A4D63">
        <w:rPr>
          <w:sz w:val="28"/>
          <w:szCs w:val="28"/>
        </w:rPr>
        <w:t>decisions.</w:t>
      </w:r>
      <w:r w:rsidR="00BF0A30" w:rsidRPr="004A4D63">
        <w:rPr>
          <w:sz w:val="28"/>
          <w:szCs w:val="28"/>
        </w:rPr>
        <w:t xml:space="preserve"> </w:t>
      </w:r>
    </w:p>
    <w:p w14:paraId="6A1DFADD" w14:textId="1CBDAE8E" w:rsidR="003B577A" w:rsidRPr="004A4D63" w:rsidRDefault="00A12A9C" w:rsidP="0065383A">
      <w:pPr>
        <w:spacing w:line="480" w:lineRule="auto"/>
        <w:rPr>
          <w:sz w:val="28"/>
          <w:szCs w:val="28"/>
        </w:rPr>
      </w:pPr>
      <w:r w:rsidRPr="004A4D63">
        <w:rPr>
          <w:sz w:val="28"/>
          <w:szCs w:val="28"/>
        </w:rPr>
        <w:tab/>
      </w:r>
      <w:r w:rsidR="001A55BE" w:rsidRPr="004A4D63">
        <w:rPr>
          <w:sz w:val="28"/>
          <w:szCs w:val="28"/>
        </w:rPr>
        <w:t>Simon observes that the</w:t>
      </w:r>
      <w:r w:rsidR="00F80F00">
        <w:rPr>
          <w:sz w:val="28"/>
          <w:szCs w:val="28"/>
        </w:rPr>
        <w:t xml:space="preserve"> post-bureaucratic administrative</w:t>
      </w:r>
      <w:r w:rsidR="001A55BE" w:rsidRPr="004A4D63">
        <w:rPr>
          <w:sz w:val="28"/>
          <w:szCs w:val="28"/>
        </w:rPr>
        <w:t xml:space="preserve"> innovation ha</w:t>
      </w:r>
      <w:r w:rsidR="00F80F00">
        <w:rPr>
          <w:sz w:val="28"/>
          <w:szCs w:val="28"/>
        </w:rPr>
        <w:t>s</w:t>
      </w:r>
      <w:r w:rsidR="001A55BE" w:rsidRPr="004A4D63">
        <w:rPr>
          <w:sz w:val="28"/>
          <w:szCs w:val="28"/>
        </w:rPr>
        <w:t xml:space="preserve"> had little impact on the criminal prosecution process.  However, greenlighting exemplifies post-bureaucratic administration. It requires professional prosec</w:t>
      </w:r>
      <w:r w:rsidR="00414915" w:rsidRPr="004A4D63">
        <w:rPr>
          <w:sz w:val="28"/>
          <w:szCs w:val="28"/>
        </w:rPr>
        <w:t>u</w:t>
      </w:r>
      <w:r w:rsidR="001A55BE" w:rsidRPr="004A4D63">
        <w:rPr>
          <w:sz w:val="28"/>
          <w:szCs w:val="28"/>
        </w:rPr>
        <w:t xml:space="preserve">tors to explain </w:t>
      </w:r>
      <w:r w:rsidR="00414915" w:rsidRPr="004A4D63">
        <w:rPr>
          <w:sz w:val="28"/>
          <w:szCs w:val="28"/>
        </w:rPr>
        <w:t xml:space="preserve">and justify </w:t>
      </w:r>
      <w:r w:rsidR="001A55BE" w:rsidRPr="004A4D63">
        <w:rPr>
          <w:sz w:val="28"/>
          <w:szCs w:val="28"/>
        </w:rPr>
        <w:t>their charging decisions</w:t>
      </w:r>
      <w:r w:rsidR="00736329" w:rsidRPr="004A4D63">
        <w:rPr>
          <w:sz w:val="28"/>
          <w:szCs w:val="28"/>
        </w:rPr>
        <w:t xml:space="preserve"> and</w:t>
      </w:r>
      <w:r w:rsidR="0098657D" w:rsidRPr="004A4D63">
        <w:rPr>
          <w:sz w:val="28"/>
          <w:szCs w:val="28"/>
        </w:rPr>
        <w:t xml:space="preserve"> </w:t>
      </w:r>
      <w:r w:rsidR="00736329" w:rsidRPr="004A4D63">
        <w:rPr>
          <w:sz w:val="28"/>
          <w:szCs w:val="28"/>
        </w:rPr>
        <w:t xml:space="preserve">makes these decisions transparent to agency heads. </w:t>
      </w:r>
      <w:r w:rsidR="00D578B0" w:rsidRPr="004A4D63">
        <w:rPr>
          <w:sz w:val="28"/>
          <w:szCs w:val="28"/>
        </w:rPr>
        <w:t xml:space="preserve">The notice and comment process that precedes greenlighting </w:t>
      </w:r>
      <w:r w:rsidR="001A55BE" w:rsidRPr="004A4D63">
        <w:rPr>
          <w:sz w:val="28"/>
          <w:szCs w:val="28"/>
        </w:rPr>
        <w:t xml:space="preserve">exposes </w:t>
      </w:r>
      <w:r w:rsidR="00736329" w:rsidRPr="004A4D63">
        <w:rPr>
          <w:sz w:val="28"/>
          <w:szCs w:val="28"/>
        </w:rPr>
        <w:t xml:space="preserve">prosecutors </w:t>
      </w:r>
      <w:r w:rsidR="001A55BE" w:rsidRPr="004A4D63">
        <w:rPr>
          <w:sz w:val="28"/>
          <w:szCs w:val="28"/>
        </w:rPr>
        <w:t>to the opinions of s</w:t>
      </w:r>
      <w:r w:rsidR="00414915" w:rsidRPr="004A4D63">
        <w:rPr>
          <w:sz w:val="28"/>
          <w:szCs w:val="28"/>
        </w:rPr>
        <w:t>t</w:t>
      </w:r>
      <w:r w:rsidR="001A55BE" w:rsidRPr="004A4D63">
        <w:rPr>
          <w:sz w:val="28"/>
          <w:szCs w:val="28"/>
        </w:rPr>
        <w:t>akeholders such as targets or victims</w:t>
      </w:r>
      <w:r w:rsidR="00736329" w:rsidRPr="004A4D63">
        <w:rPr>
          <w:sz w:val="28"/>
          <w:szCs w:val="28"/>
        </w:rPr>
        <w:t xml:space="preserve">.  </w:t>
      </w:r>
      <w:r w:rsidR="00D578B0" w:rsidRPr="004A4D63">
        <w:rPr>
          <w:sz w:val="28"/>
          <w:szCs w:val="28"/>
        </w:rPr>
        <w:t xml:space="preserve">Greenlighting entails a multi-disciplinary collegial discussion among </w:t>
      </w:r>
      <w:r w:rsidR="001A55BE" w:rsidRPr="004A4D63">
        <w:rPr>
          <w:sz w:val="28"/>
          <w:szCs w:val="28"/>
        </w:rPr>
        <w:t>the agency heads</w:t>
      </w:r>
      <w:r w:rsidR="002D6DBA" w:rsidRPr="004A4D63">
        <w:rPr>
          <w:sz w:val="28"/>
          <w:szCs w:val="28"/>
        </w:rPr>
        <w:t>.</w:t>
      </w:r>
      <w:r w:rsidR="00D578B0" w:rsidRPr="004A4D63">
        <w:rPr>
          <w:sz w:val="28"/>
          <w:szCs w:val="28"/>
        </w:rPr>
        <w:t xml:space="preserve"> Greenlighting encourages agencies to </w:t>
      </w:r>
      <w:r w:rsidR="00F96957" w:rsidRPr="004A4D63">
        <w:rPr>
          <w:sz w:val="28"/>
          <w:szCs w:val="28"/>
        </w:rPr>
        <w:t xml:space="preserve">adopt prosecution guidelines. </w:t>
      </w:r>
      <w:r w:rsidR="00BF0A30" w:rsidRPr="004A4D63">
        <w:rPr>
          <w:sz w:val="28"/>
          <w:szCs w:val="28"/>
        </w:rPr>
        <w:t xml:space="preserve"> It enables the heads to monitor prosecution decisions and to adjust the</w:t>
      </w:r>
      <w:r w:rsidR="00E36965" w:rsidRPr="004A4D63">
        <w:rPr>
          <w:sz w:val="28"/>
          <w:szCs w:val="28"/>
        </w:rPr>
        <w:t xml:space="preserve">ir priorities </w:t>
      </w:r>
      <w:r w:rsidR="00BF0A30" w:rsidRPr="004A4D63">
        <w:rPr>
          <w:sz w:val="28"/>
          <w:szCs w:val="28"/>
        </w:rPr>
        <w:lastRenderedPageBreak/>
        <w:t xml:space="preserve">when there is a change in the markets the agency regulates or when the priorities of the agency heads change. </w:t>
      </w:r>
    </w:p>
    <w:p w14:paraId="41707823" w14:textId="5552102E" w:rsidR="003B577A" w:rsidRPr="004A4D63" w:rsidRDefault="003B577A" w:rsidP="0065383A">
      <w:pPr>
        <w:spacing w:line="480" w:lineRule="auto"/>
        <w:rPr>
          <w:sz w:val="28"/>
          <w:szCs w:val="28"/>
        </w:rPr>
      </w:pPr>
      <w:r w:rsidRPr="004A4D63">
        <w:rPr>
          <w:sz w:val="28"/>
          <w:szCs w:val="28"/>
        </w:rPr>
        <w:tab/>
      </w:r>
      <w:r w:rsidR="00EC3BFD" w:rsidRPr="004A4D63">
        <w:rPr>
          <w:sz w:val="28"/>
          <w:szCs w:val="28"/>
        </w:rPr>
        <w:t>There is a</w:t>
      </w:r>
      <w:r w:rsidR="002062CC" w:rsidRPr="004A4D63">
        <w:rPr>
          <w:sz w:val="28"/>
          <w:szCs w:val="28"/>
        </w:rPr>
        <w:t xml:space="preserve">nother </w:t>
      </w:r>
      <w:r w:rsidR="0082173E" w:rsidRPr="004A4D63">
        <w:rPr>
          <w:sz w:val="28"/>
          <w:szCs w:val="28"/>
        </w:rPr>
        <w:t>way that greenlighting serves important principles of</w:t>
      </w:r>
      <w:r w:rsidR="00CB0E46" w:rsidRPr="004A4D63">
        <w:rPr>
          <w:sz w:val="28"/>
          <w:szCs w:val="28"/>
        </w:rPr>
        <w:t xml:space="preserve"> </w:t>
      </w:r>
      <w:r w:rsidR="0082173E" w:rsidRPr="004A4D63">
        <w:rPr>
          <w:sz w:val="28"/>
          <w:szCs w:val="28"/>
        </w:rPr>
        <w:t>public administration</w:t>
      </w:r>
      <w:r w:rsidR="00EC3BFD" w:rsidRPr="004A4D63">
        <w:rPr>
          <w:sz w:val="28"/>
          <w:szCs w:val="28"/>
        </w:rPr>
        <w:t xml:space="preserve">. </w:t>
      </w:r>
      <w:r w:rsidR="00B5107F" w:rsidRPr="004A4D63">
        <w:rPr>
          <w:sz w:val="28"/>
          <w:szCs w:val="28"/>
        </w:rPr>
        <w:t>As practiced in most agencies, g</w:t>
      </w:r>
      <w:r w:rsidR="00EC3BFD" w:rsidRPr="004A4D63">
        <w:rPr>
          <w:sz w:val="28"/>
          <w:szCs w:val="28"/>
        </w:rPr>
        <w:t xml:space="preserve">reenlighting </w:t>
      </w:r>
      <w:r w:rsidRPr="004A4D63">
        <w:rPr>
          <w:sz w:val="28"/>
          <w:szCs w:val="28"/>
        </w:rPr>
        <w:t xml:space="preserve">requires </w:t>
      </w:r>
      <w:r w:rsidR="00BA7AD5" w:rsidRPr="004A4D63">
        <w:rPr>
          <w:sz w:val="28"/>
          <w:szCs w:val="28"/>
        </w:rPr>
        <w:t xml:space="preserve">staff </w:t>
      </w:r>
      <w:r w:rsidRPr="004A4D63">
        <w:rPr>
          <w:sz w:val="28"/>
          <w:szCs w:val="28"/>
        </w:rPr>
        <w:t xml:space="preserve">prosecutors to produce a </w:t>
      </w:r>
      <w:r w:rsidR="00EC3BFD" w:rsidRPr="004A4D63">
        <w:rPr>
          <w:sz w:val="28"/>
          <w:szCs w:val="28"/>
        </w:rPr>
        <w:t xml:space="preserve">confidential and candid </w:t>
      </w:r>
      <w:r w:rsidRPr="004A4D63">
        <w:rPr>
          <w:sz w:val="28"/>
          <w:szCs w:val="28"/>
        </w:rPr>
        <w:t xml:space="preserve">memorandum </w:t>
      </w:r>
      <w:r w:rsidR="00CB0E46" w:rsidRPr="004A4D63">
        <w:rPr>
          <w:sz w:val="28"/>
          <w:szCs w:val="28"/>
        </w:rPr>
        <w:t>to the agency heads</w:t>
      </w:r>
      <w:r w:rsidR="00EC3BFD" w:rsidRPr="004A4D63">
        <w:rPr>
          <w:sz w:val="28"/>
          <w:szCs w:val="28"/>
        </w:rPr>
        <w:t xml:space="preserve">. These memos </w:t>
      </w:r>
      <w:r w:rsidRPr="004A4D63">
        <w:rPr>
          <w:sz w:val="28"/>
          <w:szCs w:val="28"/>
        </w:rPr>
        <w:t>explain</w:t>
      </w:r>
      <w:r w:rsidR="00EC3BFD" w:rsidRPr="004A4D63">
        <w:rPr>
          <w:sz w:val="28"/>
          <w:szCs w:val="28"/>
        </w:rPr>
        <w:t xml:space="preserve"> </w:t>
      </w:r>
      <w:r w:rsidRPr="004A4D63">
        <w:rPr>
          <w:sz w:val="28"/>
          <w:szCs w:val="28"/>
        </w:rPr>
        <w:t xml:space="preserve">the factual, legal, and policy rationales for </w:t>
      </w:r>
      <w:r w:rsidR="0082173E" w:rsidRPr="004A4D63">
        <w:rPr>
          <w:sz w:val="28"/>
          <w:szCs w:val="28"/>
        </w:rPr>
        <w:t xml:space="preserve">charging a target </w:t>
      </w:r>
      <w:r w:rsidRPr="004A4D63">
        <w:rPr>
          <w:sz w:val="28"/>
          <w:szCs w:val="28"/>
        </w:rPr>
        <w:t>or settling</w:t>
      </w:r>
      <w:r w:rsidR="0082173E" w:rsidRPr="004A4D63">
        <w:rPr>
          <w:sz w:val="28"/>
          <w:szCs w:val="28"/>
        </w:rPr>
        <w:t xml:space="preserve"> the dispute</w:t>
      </w:r>
      <w:r w:rsidR="00815E38" w:rsidRPr="004A4D63">
        <w:rPr>
          <w:sz w:val="28"/>
          <w:szCs w:val="28"/>
        </w:rPr>
        <w:t xml:space="preserve">. They </w:t>
      </w:r>
      <w:r w:rsidR="00EC3BFD" w:rsidRPr="004A4D63">
        <w:rPr>
          <w:sz w:val="28"/>
          <w:szCs w:val="28"/>
        </w:rPr>
        <w:t xml:space="preserve">analyze </w:t>
      </w:r>
      <w:r w:rsidR="00CB0E46" w:rsidRPr="004A4D63">
        <w:rPr>
          <w:sz w:val="28"/>
          <w:szCs w:val="28"/>
        </w:rPr>
        <w:t>strategic concerns such as evidentiary weak points</w:t>
      </w:r>
      <w:r w:rsidR="00EC3BFD" w:rsidRPr="004A4D63">
        <w:rPr>
          <w:sz w:val="28"/>
          <w:szCs w:val="28"/>
        </w:rPr>
        <w:t xml:space="preserve"> or political implications.  </w:t>
      </w:r>
      <w:r w:rsidR="002C175C" w:rsidRPr="004A4D63">
        <w:rPr>
          <w:sz w:val="28"/>
          <w:szCs w:val="28"/>
        </w:rPr>
        <w:t>SEC prosecutors file “Action Memos</w:t>
      </w:r>
      <w:r w:rsidR="0082173E" w:rsidRPr="004A4D63">
        <w:rPr>
          <w:sz w:val="28"/>
          <w:szCs w:val="28"/>
        </w:rPr>
        <w:t>;”</w:t>
      </w:r>
      <w:r w:rsidR="002C175C" w:rsidRPr="004A4D63">
        <w:rPr>
          <w:sz w:val="28"/>
          <w:szCs w:val="28"/>
        </w:rPr>
        <w:t xml:space="preserve"> FTC prosecutors file “Memoranda Recommending Complaint;” FERC prosecutors produce</w:t>
      </w:r>
      <w:r w:rsidR="0082173E" w:rsidRPr="004A4D63">
        <w:rPr>
          <w:sz w:val="28"/>
          <w:szCs w:val="28"/>
        </w:rPr>
        <w:t xml:space="preserve"> the</w:t>
      </w:r>
      <w:r w:rsidR="002C175C" w:rsidRPr="004A4D63">
        <w:rPr>
          <w:sz w:val="28"/>
          <w:szCs w:val="28"/>
        </w:rPr>
        <w:t xml:space="preserve"> “Enforcement Staff Report and Recom</w:t>
      </w:r>
      <w:r w:rsidR="0082173E" w:rsidRPr="004A4D63">
        <w:rPr>
          <w:sz w:val="28"/>
          <w:szCs w:val="28"/>
        </w:rPr>
        <w:t>m</w:t>
      </w:r>
      <w:r w:rsidR="002C175C" w:rsidRPr="004A4D63">
        <w:rPr>
          <w:sz w:val="28"/>
          <w:szCs w:val="28"/>
        </w:rPr>
        <w:t xml:space="preserve">endation.” </w:t>
      </w:r>
      <w:r w:rsidRPr="004A4D63">
        <w:rPr>
          <w:sz w:val="28"/>
          <w:szCs w:val="28"/>
        </w:rPr>
        <w:t xml:space="preserve">The process of </w:t>
      </w:r>
      <w:r w:rsidR="002062CC" w:rsidRPr="004A4D63">
        <w:rPr>
          <w:sz w:val="28"/>
          <w:szCs w:val="28"/>
        </w:rPr>
        <w:t xml:space="preserve">preparing such memoranda </w:t>
      </w:r>
      <w:r w:rsidRPr="004A4D63">
        <w:rPr>
          <w:sz w:val="28"/>
          <w:szCs w:val="28"/>
        </w:rPr>
        <w:t xml:space="preserve">is likely to improve the </w:t>
      </w:r>
      <w:r w:rsidR="00FF72B4" w:rsidRPr="004A4D63">
        <w:rPr>
          <w:sz w:val="28"/>
          <w:szCs w:val="28"/>
        </w:rPr>
        <w:t xml:space="preserve">staff’s </w:t>
      </w:r>
      <w:r w:rsidRPr="004A4D63">
        <w:rPr>
          <w:sz w:val="28"/>
          <w:szCs w:val="28"/>
        </w:rPr>
        <w:t xml:space="preserve">decisionmaking </w:t>
      </w:r>
      <w:r w:rsidR="00FF72B4" w:rsidRPr="004A4D63">
        <w:rPr>
          <w:sz w:val="28"/>
          <w:szCs w:val="28"/>
        </w:rPr>
        <w:t>process.</w:t>
      </w:r>
      <w:r w:rsidR="00EC3BFD" w:rsidRPr="004A4D63">
        <w:rPr>
          <w:sz w:val="28"/>
          <w:szCs w:val="28"/>
        </w:rPr>
        <w:t xml:space="preserve"> </w:t>
      </w:r>
      <w:r w:rsidR="00CB0E46" w:rsidRPr="004A4D63">
        <w:rPr>
          <w:sz w:val="28"/>
          <w:szCs w:val="28"/>
        </w:rPr>
        <w:t xml:space="preserve"> </w:t>
      </w:r>
      <w:r w:rsidRPr="004A4D63">
        <w:rPr>
          <w:sz w:val="28"/>
          <w:szCs w:val="28"/>
        </w:rPr>
        <w:t xml:space="preserve">Staff members realize that they will have repeated interactions with the </w:t>
      </w:r>
      <w:r w:rsidR="002D6DBA" w:rsidRPr="004A4D63">
        <w:rPr>
          <w:sz w:val="28"/>
          <w:szCs w:val="28"/>
        </w:rPr>
        <w:t xml:space="preserve">agency members </w:t>
      </w:r>
      <w:r w:rsidRPr="004A4D63">
        <w:rPr>
          <w:sz w:val="28"/>
          <w:szCs w:val="28"/>
        </w:rPr>
        <w:t>and are anxious to preserve their credibility by writing thorough and balanced memoranda</w:t>
      </w:r>
      <w:r w:rsidR="002D6DBA" w:rsidRPr="004A4D63">
        <w:rPr>
          <w:sz w:val="28"/>
          <w:szCs w:val="28"/>
        </w:rPr>
        <w:t>.</w:t>
      </w:r>
      <w:r w:rsidR="00CB0E46" w:rsidRPr="004A4D63">
        <w:rPr>
          <w:sz w:val="28"/>
          <w:szCs w:val="28"/>
        </w:rPr>
        <w:t xml:space="preserve"> </w:t>
      </w:r>
    </w:p>
    <w:p w14:paraId="1E115243" w14:textId="41819001" w:rsidR="003B577A" w:rsidRPr="004A4D63" w:rsidRDefault="003B577A" w:rsidP="0065383A">
      <w:pPr>
        <w:spacing w:line="480" w:lineRule="auto"/>
        <w:rPr>
          <w:sz w:val="28"/>
          <w:szCs w:val="28"/>
        </w:rPr>
      </w:pPr>
      <w:r w:rsidRPr="004A4D63">
        <w:rPr>
          <w:sz w:val="28"/>
          <w:szCs w:val="28"/>
        </w:rPr>
        <w:tab/>
      </w:r>
      <w:r w:rsidR="002062CC" w:rsidRPr="004A4D63">
        <w:rPr>
          <w:sz w:val="28"/>
          <w:szCs w:val="28"/>
        </w:rPr>
        <w:t xml:space="preserve">Still another advantage </w:t>
      </w:r>
      <w:r w:rsidR="0082173E" w:rsidRPr="004A4D63">
        <w:rPr>
          <w:sz w:val="28"/>
          <w:szCs w:val="28"/>
        </w:rPr>
        <w:t xml:space="preserve">of greenlighting </w:t>
      </w:r>
      <w:r w:rsidR="002062CC" w:rsidRPr="004A4D63">
        <w:rPr>
          <w:sz w:val="28"/>
          <w:szCs w:val="28"/>
        </w:rPr>
        <w:t xml:space="preserve">is that in </w:t>
      </w:r>
      <w:r w:rsidRPr="004A4D63">
        <w:rPr>
          <w:sz w:val="28"/>
          <w:szCs w:val="28"/>
        </w:rPr>
        <w:t>multi-member agencies</w:t>
      </w:r>
      <w:r w:rsidR="002062CC" w:rsidRPr="004A4D63">
        <w:rPr>
          <w:sz w:val="28"/>
          <w:szCs w:val="28"/>
        </w:rPr>
        <w:t>,</w:t>
      </w:r>
      <w:r w:rsidRPr="004A4D63">
        <w:rPr>
          <w:sz w:val="28"/>
          <w:szCs w:val="28"/>
        </w:rPr>
        <w:t xml:space="preserve"> the </w:t>
      </w:r>
      <w:r w:rsidR="002C175C" w:rsidRPr="004A4D63">
        <w:rPr>
          <w:sz w:val="28"/>
          <w:szCs w:val="28"/>
        </w:rPr>
        <w:t xml:space="preserve">greenlighting function compels </w:t>
      </w:r>
      <w:r w:rsidRPr="004A4D63">
        <w:rPr>
          <w:sz w:val="28"/>
          <w:szCs w:val="28"/>
        </w:rPr>
        <w:t xml:space="preserve">agency heads </w:t>
      </w:r>
      <w:r w:rsidR="002C175C" w:rsidRPr="004A4D63">
        <w:rPr>
          <w:sz w:val="28"/>
          <w:szCs w:val="28"/>
        </w:rPr>
        <w:t xml:space="preserve">to </w:t>
      </w:r>
      <w:r w:rsidRPr="004A4D63">
        <w:rPr>
          <w:sz w:val="28"/>
          <w:szCs w:val="28"/>
        </w:rPr>
        <w:t>make a collective and collegial deliberative decision</w:t>
      </w:r>
      <w:r w:rsidR="00B5107F" w:rsidRPr="004A4D63">
        <w:rPr>
          <w:sz w:val="28"/>
          <w:szCs w:val="28"/>
        </w:rPr>
        <w:t xml:space="preserve"> about </w:t>
      </w:r>
      <w:r w:rsidR="00C9282C">
        <w:rPr>
          <w:sz w:val="28"/>
          <w:szCs w:val="28"/>
        </w:rPr>
        <w:t xml:space="preserve">prosecution priorities. </w:t>
      </w:r>
      <w:r w:rsidR="00EC3BFD" w:rsidRPr="004A4D63">
        <w:rPr>
          <w:sz w:val="28"/>
          <w:szCs w:val="28"/>
        </w:rPr>
        <w:t>M</w:t>
      </w:r>
      <w:r w:rsidR="002062CC" w:rsidRPr="004A4D63">
        <w:rPr>
          <w:sz w:val="28"/>
          <w:szCs w:val="28"/>
        </w:rPr>
        <w:t xml:space="preserve">ulti-member </w:t>
      </w:r>
      <w:r w:rsidRPr="004A4D63">
        <w:rPr>
          <w:sz w:val="28"/>
          <w:szCs w:val="28"/>
        </w:rPr>
        <w:t xml:space="preserve">agency heads </w:t>
      </w:r>
      <w:r w:rsidR="002062CC" w:rsidRPr="004A4D63">
        <w:rPr>
          <w:sz w:val="28"/>
          <w:szCs w:val="28"/>
        </w:rPr>
        <w:t xml:space="preserve">must </w:t>
      </w:r>
      <w:r w:rsidRPr="004A4D63">
        <w:rPr>
          <w:sz w:val="28"/>
          <w:szCs w:val="28"/>
        </w:rPr>
        <w:t xml:space="preserve">be balanced politically </w:t>
      </w:r>
      <w:r w:rsidR="002062CC" w:rsidRPr="004A4D63">
        <w:rPr>
          <w:sz w:val="28"/>
          <w:szCs w:val="28"/>
        </w:rPr>
        <w:t xml:space="preserve">and are likely to </w:t>
      </w:r>
      <w:r w:rsidRPr="004A4D63">
        <w:rPr>
          <w:sz w:val="28"/>
          <w:szCs w:val="28"/>
        </w:rPr>
        <w:t>have different skill sets and backgrounds</w:t>
      </w:r>
      <w:r w:rsidR="00EC3BFD" w:rsidRPr="004A4D63">
        <w:rPr>
          <w:sz w:val="28"/>
          <w:szCs w:val="28"/>
        </w:rPr>
        <w:t xml:space="preserve">. As a result, </w:t>
      </w:r>
      <w:r w:rsidRPr="004A4D63">
        <w:rPr>
          <w:sz w:val="28"/>
          <w:szCs w:val="28"/>
        </w:rPr>
        <w:t>the collective</w:t>
      </w:r>
      <w:r w:rsidR="00EC3BFD" w:rsidRPr="004A4D63">
        <w:rPr>
          <w:sz w:val="28"/>
          <w:szCs w:val="28"/>
        </w:rPr>
        <w:t xml:space="preserve"> agency-head </w:t>
      </w:r>
      <w:r w:rsidRPr="004A4D63">
        <w:rPr>
          <w:sz w:val="28"/>
          <w:szCs w:val="28"/>
        </w:rPr>
        <w:t xml:space="preserve">decision about enforcement priorities </w:t>
      </w:r>
      <w:r w:rsidR="00EC3BFD" w:rsidRPr="004A4D63">
        <w:rPr>
          <w:sz w:val="28"/>
          <w:szCs w:val="28"/>
        </w:rPr>
        <w:t xml:space="preserve">and charging decisions </w:t>
      </w:r>
      <w:r w:rsidRPr="004A4D63">
        <w:rPr>
          <w:sz w:val="28"/>
          <w:szCs w:val="28"/>
        </w:rPr>
        <w:t xml:space="preserve">may be better than leaving that decision to </w:t>
      </w:r>
      <w:r w:rsidRPr="004A4D63">
        <w:rPr>
          <w:sz w:val="28"/>
          <w:szCs w:val="28"/>
        </w:rPr>
        <w:lastRenderedPageBreak/>
        <w:t xml:space="preserve">prosecutors </w:t>
      </w:r>
      <w:r w:rsidR="00671D16" w:rsidRPr="004A4D63">
        <w:rPr>
          <w:sz w:val="28"/>
          <w:szCs w:val="28"/>
        </w:rPr>
        <w:t xml:space="preserve">(as in the criminal law process) </w:t>
      </w:r>
      <w:r w:rsidRPr="004A4D63">
        <w:rPr>
          <w:sz w:val="28"/>
          <w:szCs w:val="28"/>
        </w:rPr>
        <w:t>or to the general counsel</w:t>
      </w:r>
      <w:r w:rsidR="00671D16" w:rsidRPr="004A4D63">
        <w:rPr>
          <w:sz w:val="28"/>
          <w:szCs w:val="28"/>
        </w:rPr>
        <w:t xml:space="preserve"> (as in the case of the NLRB).  This assumes, of course, </w:t>
      </w:r>
      <w:r w:rsidR="004408B3" w:rsidRPr="004A4D63">
        <w:rPr>
          <w:sz w:val="28"/>
          <w:szCs w:val="28"/>
        </w:rPr>
        <w:t>that the agency’s caseload permits collective decisions</w:t>
      </w:r>
      <w:r w:rsidR="00671D16" w:rsidRPr="004A4D63">
        <w:rPr>
          <w:sz w:val="28"/>
          <w:szCs w:val="28"/>
        </w:rPr>
        <w:t xml:space="preserve"> about prosecution</w:t>
      </w:r>
      <w:r w:rsidR="004408B3" w:rsidRPr="004A4D63">
        <w:rPr>
          <w:sz w:val="28"/>
          <w:szCs w:val="28"/>
        </w:rPr>
        <w:t xml:space="preserve"> (as it probably does not in the case of the NLRB). </w:t>
      </w:r>
      <w:r w:rsidRPr="004A4D63">
        <w:rPr>
          <w:sz w:val="28"/>
          <w:szCs w:val="28"/>
        </w:rPr>
        <w:t xml:space="preserve"> This pluralistic decisionmaking  process is one of the advantages of multi-headed agencies</w:t>
      </w:r>
      <w:r w:rsidR="00B5107F" w:rsidRPr="004A4D63">
        <w:rPr>
          <w:sz w:val="28"/>
          <w:szCs w:val="28"/>
        </w:rPr>
        <w:t>, and</w:t>
      </w:r>
      <w:r w:rsidRPr="004A4D63">
        <w:rPr>
          <w:sz w:val="28"/>
          <w:szCs w:val="28"/>
        </w:rPr>
        <w:t xml:space="preserve"> that advantage applies to enforcement decision</w:t>
      </w:r>
      <w:r w:rsidR="00B5107F" w:rsidRPr="004A4D63">
        <w:rPr>
          <w:sz w:val="28"/>
          <w:szCs w:val="28"/>
        </w:rPr>
        <w:t xml:space="preserve">making </w:t>
      </w:r>
      <w:r w:rsidRPr="004A4D63">
        <w:rPr>
          <w:sz w:val="28"/>
          <w:szCs w:val="28"/>
        </w:rPr>
        <w:t>as well as to other administrative functions like rulemaking or final adjudicatory decisions.</w:t>
      </w:r>
      <w:r w:rsidRPr="004A4D63">
        <w:rPr>
          <w:rStyle w:val="FootnoteReference"/>
          <w:sz w:val="28"/>
          <w:szCs w:val="28"/>
        </w:rPr>
        <w:footnoteReference w:id="97"/>
      </w:r>
    </w:p>
    <w:p w14:paraId="2BBB1FA7" w14:textId="5A1B6849" w:rsidR="00AB10CA" w:rsidRPr="004A4D63" w:rsidRDefault="001357C0" w:rsidP="0065383A">
      <w:pPr>
        <w:pStyle w:val="FootnoteText"/>
        <w:spacing w:line="480" w:lineRule="auto"/>
        <w:rPr>
          <w:rFonts w:ascii="Times New Roman" w:hAnsi="Times New Roman" w:cs="Times New Roman"/>
          <w:sz w:val="28"/>
          <w:szCs w:val="28"/>
        </w:rPr>
      </w:pPr>
      <w:r w:rsidRPr="004A4D63">
        <w:rPr>
          <w:rFonts w:ascii="Times New Roman" w:hAnsi="Times New Roman" w:cs="Times New Roman"/>
          <w:sz w:val="28"/>
          <w:szCs w:val="28"/>
        </w:rPr>
        <w:tab/>
      </w:r>
      <w:r w:rsidR="00EB1791" w:rsidRPr="004A4D63">
        <w:rPr>
          <w:rFonts w:ascii="Times New Roman" w:hAnsi="Times New Roman" w:cs="Times New Roman"/>
          <w:sz w:val="28"/>
          <w:szCs w:val="28"/>
        </w:rPr>
        <w:t xml:space="preserve">2. </w:t>
      </w:r>
      <w:r w:rsidR="00AB10CA" w:rsidRPr="004A4D63">
        <w:rPr>
          <w:rFonts w:ascii="Times New Roman" w:hAnsi="Times New Roman" w:cs="Times New Roman"/>
          <w:sz w:val="28"/>
          <w:szCs w:val="28"/>
        </w:rPr>
        <w:t xml:space="preserve"> Internal separation of powers</w:t>
      </w:r>
      <w:r w:rsidR="00EB1791" w:rsidRPr="004A4D63">
        <w:rPr>
          <w:rFonts w:ascii="Times New Roman" w:hAnsi="Times New Roman" w:cs="Times New Roman"/>
          <w:sz w:val="28"/>
          <w:szCs w:val="28"/>
        </w:rPr>
        <w:t xml:space="preserve"> </w:t>
      </w:r>
    </w:p>
    <w:p w14:paraId="62AB151F" w14:textId="687C9B6C" w:rsidR="002D5BE7" w:rsidRPr="004A4D63" w:rsidRDefault="00AB10CA" w:rsidP="0065383A">
      <w:pPr>
        <w:pStyle w:val="FootnoteText"/>
        <w:spacing w:line="480" w:lineRule="auto"/>
        <w:rPr>
          <w:rFonts w:ascii="Times New Roman" w:hAnsi="Times New Roman" w:cs="Times New Roman"/>
          <w:sz w:val="28"/>
          <w:szCs w:val="28"/>
        </w:rPr>
      </w:pPr>
      <w:r w:rsidRPr="004A4D63">
        <w:rPr>
          <w:rFonts w:ascii="Times New Roman" w:hAnsi="Times New Roman" w:cs="Times New Roman"/>
          <w:sz w:val="28"/>
          <w:szCs w:val="28"/>
        </w:rPr>
        <w:tab/>
      </w:r>
      <w:r w:rsidR="002C175C" w:rsidRPr="004A4D63">
        <w:rPr>
          <w:rFonts w:ascii="Times New Roman" w:hAnsi="Times New Roman" w:cs="Times New Roman"/>
          <w:sz w:val="28"/>
          <w:szCs w:val="28"/>
        </w:rPr>
        <w:t xml:space="preserve">The greenlighting function </w:t>
      </w:r>
      <w:r w:rsidR="001357C0" w:rsidRPr="004A4D63">
        <w:rPr>
          <w:rFonts w:ascii="Times New Roman" w:hAnsi="Times New Roman" w:cs="Times New Roman"/>
          <w:sz w:val="28"/>
          <w:szCs w:val="28"/>
        </w:rPr>
        <w:t xml:space="preserve">is an example of </w:t>
      </w:r>
      <w:r w:rsidR="0007268D" w:rsidRPr="004A4D63">
        <w:rPr>
          <w:rFonts w:ascii="Times New Roman" w:hAnsi="Times New Roman" w:cs="Times New Roman"/>
          <w:sz w:val="28"/>
          <w:szCs w:val="28"/>
        </w:rPr>
        <w:t>“</w:t>
      </w:r>
      <w:r w:rsidR="001357C0" w:rsidRPr="004A4D63">
        <w:rPr>
          <w:rFonts w:ascii="Times New Roman" w:hAnsi="Times New Roman" w:cs="Times New Roman"/>
          <w:sz w:val="28"/>
          <w:szCs w:val="28"/>
        </w:rPr>
        <w:t>internal separation of powers</w:t>
      </w:r>
      <w:r w:rsidR="0007268D" w:rsidRPr="004A4D63">
        <w:rPr>
          <w:rFonts w:ascii="Times New Roman" w:hAnsi="Times New Roman" w:cs="Times New Roman"/>
          <w:sz w:val="28"/>
          <w:szCs w:val="28"/>
        </w:rPr>
        <w:t>”</w:t>
      </w:r>
      <w:r w:rsidR="001357C0" w:rsidRPr="004A4D63">
        <w:rPr>
          <w:rFonts w:ascii="Times New Roman" w:hAnsi="Times New Roman" w:cs="Times New Roman"/>
          <w:sz w:val="28"/>
          <w:szCs w:val="28"/>
        </w:rPr>
        <w:t xml:space="preserve"> as described by Jon Michaels.</w:t>
      </w:r>
      <w:r w:rsidR="001357C0" w:rsidRPr="004A4D63">
        <w:rPr>
          <w:rStyle w:val="FootnoteReference"/>
          <w:rFonts w:ascii="Times New Roman" w:hAnsi="Times New Roman" w:cs="Times New Roman"/>
          <w:sz w:val="28"/>
          <w:szCs w:val="28"/>
        </w:rPr>
        <w:footnoteReference w:id="98"/>
      </w:r>
      <w:r w:rsidR="001357C0" w:rsidRPr="004A4D63">
        <w:rPr>
          <w:rFonts w:ascii="Times New Roman" w:hAnsi="Times New Roman" w:cs="Times New Roman"/>
          <w:sz w:val="28"/>
          <w:szCs w:val="28"/>
        </w:rPr>
        <w:t xml:space="preserve"> Michaels </w:t>
      </w:r>
      <w:r w:rsidR="00C53F30" w:rsidRPr="004A4D63">
        <w:rPr>
          <w:rFonts w:ascii="Times New Roman" w:hAnsi="Times New Roman" w:cs="Times New Roman"/>
          <w:sz w:val="28"/>
          <w:szCs w:val="28"/>
        </w:rPr>
        <w:t xml:space="preserve">describes </w:t>
      </w:r>
      <w:r w:rsidR="002D5BE7" w:rsidRPr="004A4D63">
        <w:rPr>
          <w:rFonts w:ascii="Times New Roman" w:hAnsi="Times New Roman" w:cs="Times New Roman"/>
          <w:sz w:val="28"/>
          <w:szCs w:val="28"/>
        </w:rPr>
        <w:t>three distinct and competitive interests</w:t>
      </w:r>
      <w:r w:rsidR="00C53F30" w:rsidRPr="004A4D63">
        <w:rPr>
          <w:rFonts w:ascii="Times New Roman" w:hAnsi="Times New Roman" w:cs="Times New Roman"/>
          <w:sz w:val="28"/>
          <w:szCs w:val="28"/>
        </w:rPr>
        <w:t xml:space="preserve"> at play in agency decisionmaking. The three are </w:t>
      </w:r>
      <w:r w:rsidR="002D5BE7" w:rsidRPr="004A4D63">
        <w:rPr>
          <w:rFonts w:ascii="Times New Roman" w:hAnsi="Times New Roman" w:cs="Times New Roman"/>
          <w:sz w:val="28"/>
          <w:szCs w:val="28"/>
        </w:rPr>
        <w:t xml:space="preserve">the </w:t>
      </w:r>
      <w:r w:rsidR="001357C0" w:rsidRPr="004A4D63">
        <w:rPr>
          <w:rFonts w:ascii="Times New Roman" w:hAnsi="Times New Roman" w:cs="Times New Roman"/>
          <w:sz w:val="28"/>
          <w:szCs w:val="28"/>
        </w:rPr>
        <w:t xml:space="preserve">agency heads, </w:t>
      </w:r>
      <w:r w:rsidR="00C53F30" w:rsidRPr="004A4D63">
        <w:rPr>
          <w:rFonts w:ascii="Times New Roman" w:hAnsi="Times New Roman" w:cs="Times New Roman"/>
          <w:sz w:val="28"/>
          <w:szCs w:val="28"/>
        </w:rPr>
        <w:t xml:space="preserve">the </w:t>
      </w:r>
      <w:r w:rsidR="001357C0" w:rsidRPr="004A4D63">
        <w:rPr>
          <w:rFonts w:ascii="Times New Roman" w:hAnsi="Times New Roman" w:cs="Times New Roman"/>
          <w:sz w:val="28"/>
          <w:szCs w:val="28"/>
        </w:rPr>
        <w:t xml:space="preserve">agency staff, and </w:t>
      </w:r>
      <w:r w:rsidRPr="004A4D63">
        <w:rPr>
          <w:rFonts w:ascii="Times New Roman" w:hAnsi="Times New Roman" w:cs="Times New Roman"/>
          <w:sz w:val="28"/>
          <w:szCs w:val="28"/>
        </w:rPr>
        <w:t xml:space="preserve">outsiders to the agency </w:t>
      </w:r>
      <w:r w:rsidR="001357C0" w:rsidRPr="004A4D63">
        <w:rPr>
          <w:rFonts w:ascii="Times New Roman" w:hAnsi="Times New Roman" w:cs="Times New Roman"/>
          <w:sz w:val="28"/>
          <w:szCs w:val="28"/>
        </w:rPr>
        <w:t xml:space="preserve">(including both </w:t>
      </w:r>
      <w:r w:rsidR="00E403AF" w:rsidRPr="004A4D63">
        <w:rPr>
          <w:rFonts w:ascii="Times New Roman" w:hAnsi="Times New Roman" w:cs="Times New Roman"/>
          <w:sz w:val="28"/>
          <w:szCs w:val="28"/>
        </w:rPr>
        <w:t xml:space="preserve">regulated parties and beneficiaries of the regulatory scheme). </w:t>
      </w:r>
      <w:r w:rsidR="002D5BE7" w:rsidRPr="004A4D63">
        <w:rPr>
          <w:rFonts w:ascii="Times New Roman" w:hAnsi="Times New Roman" w:cs="Times New Roman"/>
          <w:sz w:val="28"/>
          <w:szCs w:val="28"/>
        </w:rPr>
        <w:t xml:space="preserve">These three interests engage in constant rivalrous competition </w:t>
      </w:r>
      <w:r w:rsidR="00075738" w:rsidRPr="004A4D63">
        <w:rPr>
          <w:rFonts w:ascii="Times New Roman" w:hAnsi="Times New Roman" w:cs="Times New Roman"/>
          <w:sz w:val="28"/>
          <w:szCs w:val="28"/>
        </w:rPr>
        <w:t xml:space="preserve">in the course of </w:t>
      </w:r>
      <w:r w:rsidR="002D5BE7" w:rsidRPr="004A4D63">
        <w:rPr>
          <w:rFonts w:ascii="Times New Roman" w:hAnsi="Times New Roman" w:cs="Times New Roman"/>
          <w:sz w:val="28"/>
          <w:szCs w:val="28"/>
        </w:rPr>
        <w:t xml:space="preserve">a variety of administrative functions. Michaels points out the parallels </w:t>
      </w:r>
      <w:r w:rsidR="00E403AF" w:rsidRPr="004A4D63">
        <w:rPr>
          <w:rFonts w:ascii="Times New Roman" w:hAnsi="Times New Roman" w:cs="Times New Roman"/>
          <w:sz w:val="28"/>
          <w:szCs w:val="28"/>
        </w:rPr>
        <w:t xml:space="preserve">between this internal separation of powers and the </w:t>
      </w:r>
      <w:r w:rsidR="002D5BE7" w:rsidRPr="004A4D63">
        <w:rPr>
          <w:rFonts w:ascii="Times New Roman" w:hAnsi="Times New Roman" w:cs="Times New Roman"/>
          <w:sz w:val="28"/>
          <w:szCs w:val="28"/>
        </w:rPr>
        <w:lastRenderedPageBreak/>
        <w:t>traditional</w:t>
      </w:r>
      <w:r w:rsidR="00B57762" w:rsidRPr="004A4D63">
        <w:rPr>
          <w:rFonts w:ascii="Times New Roman" w:hAnsi="Times New Roman" w:cs="Times New Roman"/>
          <w:sz w:val="28"/>
          <w:szCs w:val="28"/>
        </w:rPr>
        <w:t xml:space="preserve"> system of </w:t>
      </w:r>
      <w:r w:rsidR="007D55B4" w:rsidRPr="004A4D63">
        <w:rPr>
          <w:rFonts w:ascii="Times New Roman" w:hAnsi="Times New Roman" w:cs="Times New Roman"/>
          <w:sz w:val="28"/>
          <w:szCs w:val="28"/>
        </w:rPr>
        <w:t xml:space="preserve">external </w:t>
      </w:r>
      <w:r w:rsidR="002D5BE7" w:rsidRPr="004A4D63">
        <w:rPr>
          <w:rFonts w:ascii="Times New Roman" w:hAnsi="Times New Roman" w:cs="Times New Roman"/>
          <w:sz w:val="28"/>
          <w:szCs w:val="28"/>
        </w:rPr>
        <w:t xml:space="preserve">separation of powers </w:t>
      </w:r>
      <w:r w:rsidR="00B57762" w:rsidRPr="004A4D63">
        <w:rPr>
          <w:rFonts w:ascii="Times New Roman" w:hAnsi="Times New Roman" w:cs="Times New Roman"/>
          <w:sz w:val="28"/>
          <w:szCs w:val="28"/>
        </w:rPr>
        <w:t xml:space="preserve">and checks and balances </w:t>
      </w:r>
      <w:r w:rsidR="002D5BE7" w:rsidRPr="004A4D63">
        <w:rPr>
          <w:rFonts w:ascii="Times New Roman" w:hAnsi="Times New Roman" w:cs="Times New Roman"/>
          <w:sz w:val="28"/>
          <w:szCs w:val="28"/>
        </w:rPr>
        <w:t>between the legislative, executive, and judicial branches</w:t>
      </w:r>
      <w:r w:rsidR="00E403AF" w:rsidRPr="004A4D63">
        <w:rPr>
          <w:rFonts w:ascii="Times New Roman" w:hAnsi="Times New Roman" w:cs="Times New Roman"/>
          <w:sz w:val="28"/>
          <w:szCs w:val="28"/>
        </w:rPr>
        <w:t xml:space="preserve"> of government</w:t>
      </w:r>
      <w:r w:rsidR="002D5BE7" w:rsidRPr="004A4D63">
        <w:rPr>
          <w:rFonts w:ascii="Times New Roman" w:hAnsi="Times New Roman" w:cs="Times New Roman"/>
          <w:sz w:val="28"/>
          <w:szCs w:val="28"/>
        </w:rPr>
        <w:t xml:space="preserve">. </w:t>
      </w:r>
      <w:r w:rsidR="001357C0" w:rsidRPr="004A4D63">
        <w:rPr>
          <w:rFonts w:ascii="Times New Roman" w:hAnsi="Times New Roman" w:cs="Times New Roman"/>
          <w:sz w:val="28"/>
          <w:szCs w:val="28"/>
        </w:rPr>
        <w:t xml:space="preserve"> </w:t>
      </w:r>
    </w:p>
    <w:p w14:paraId="409B9333" w14:textId="4F5CE14B" w:rsidR="008C4B94" w:rsidRPr="004A4D63" w:rsidRDefault="002D5BE7" w:rsidP="0065383A">
      <w:pPr>
        <w:pStyle w:val="FootnoteText"/>
        <w:spacing w:line="480" w:lineRule="auto"/>
        <w:rPr>
          <w:rFonts w:ascii="Times New Roman" w:hAnsi="Times New Roman" w:cs="Times New Roman"/>
          <w:sz w:val="28"/>
          <w:szCs w:val="28"/>
        </w:rPr>
      </w:pPr>
      <w:r w:rsidRPr="004A4D63">
        <w:rPr>
          <w:rFonts w:ascii="Times New Roman" w:hAnsi="Times New Roman" w:cs="Times New Roman"/>
          <w:sz w:val="28"/>
          <w:szCs w:val="28"/>
        </w:rPr>
        <w:tab/>
        <w:t>Applying Michaels’ analysis</w:t>
      </w:r>
      <w:r w:rsidR="00B57762" w:rsidRPr="004A4D63">
        <w:rPr>
          <w:rFonts w:ascii="Times New Roman" w:hAnsi="Times New Roman" w:cs="Times New Roman"/>
          <w:sz w:val="28"/>
          <w:szCs w:val="28"/>
        </w:rPr>
        <w:t xml:space="preserve"> to charging decisions, </w:t>
      </w:r>
      <w:r w:rsidR="001357C0" w:rsidRPr="004A4D63">
        <w:rPr>
          <w:rFonts w:ascii="Times New Roman" w:hAnsi="Times New Roman" w:cs="Times New Roman"/>
          <w:sz w:val="28"/>
          <w:szCs w:val="28"/>
        </w:rPr>
        <w:t xml:space="preserve">the agency staff investigators and prosecutors take the initiative to </w:t>
      </w:r>
      <w:r w:rsidR="00B57762" w:rsidRPr="004A4D63">
        <w:rPr>
          <w:rFonts w:ascii="Times New Roman" w:hAnsi="Times New Roman" w:cs="Times New Roman"/>
          <w:sz w:val="28"/>
          <w:szCs w:val="28"/>
        </w:rPr>
        <w:t>uncover violations</w:t>
      </w:r>
      <w:r w:rsidR="00615FFA" w:rsidRPr="004A4D63">
        <w:rPr>
          <w:rFonts w:ascii="Times New Roman" w:hAnsi="Times New Roman" w:cs="Times New Roman"/>
          <w:sz w:val="28"/>
          <w:szCs w:val="28"/>
        </w:rPr>
        <w:t xml:space="preserve"> and</w:t>
      </w:r>
      <w:r w:rsidR="00B57762" w:rsidRPr="004A4D63">
        <w:rPr>
          <w:rFonts w:ascii="Times New Roman" w:hAnsi="Times New Roman" w:cs="Times New Roman"/>
          <w:sz w:val="28"/>
          <w:szCs w:val="28"/>
        </w:rPr>
        <w:t xml:space="preserve"> prioritize them</w:t>
      </w:r>
      <w:r w:rsidR="007D55B4" w:rsidRPr="004A4D63">
        <w:rPr>
          <w:rFonts w:ascii="Times New Roman" w:hAnsi="Times New Roman" w:cs="Times New Roman"/>
          <w:sz w:val="28"/>
          <w:szCs w:val="28"/>
        </w:rPr>
        <w:t>. T</w:t>
      </w:r>
      <w:r w:rsidR="00075738" w:rsidRPr="004A4D63">
        <w:rPr>
          <w:rFonts w:ascii="Times New Roman" w:hAnsi="Times New Roman" w:cs="Times New Roman"/>
          <w:sz w:val="28"/>
          <w:szCs w:val="28"/>
        </w:rPr>
        <w:t xml:space="preserve">hey make the initial decision whether to </w:t>
      </w:r>
      <w:r w:rsidR="001357C0" w:rsidRPr="004A4D63">
        <w:rPr>
          <w:rFonts w:ascii="Times New Roman" w:hAnsi="Times New Roman" w:cs="Times New Roman"/>
          <w:sz w:val="28"/>
          <w:szCs w:val="28"/>
        </w:rPr>
        <w:t>prosecute</w:t>
      </w:r>
      <w:r w:rsidR="00075738" w:rsidRPr="004A4D63">
        <w:rPr>
          <w:rFonts w:ascii="Times New Roman" w:hAnsi="Times New Roman" w:cs="Times New Roman"/>
          <w:sz w:val="28"/>
          <w:szCs w:val="28"/>
        </w:rPr>
        <w:t>,</w:t>
      </w:r>
      <w:r w:rsidR="001357C0" w:rsidRPr="004A4D63">
        <w:rPr>
          <w:rFonts w:ascii="Times New Roman" w:hAnsi="Times New Roman" w:cs="Times New Roman"/>
          <w:sz w:val="28"/>
          <w:szCs w:val="28"/>
        </w:rPr>
        <w:t xml:space="preserve"> settle</w:t>
      </w:r>
      <w:r w:rsidR="00075738" w:rsidRPr="004A4D63">
        <w:rPr>
          <w:rFonts w:ascii="Times New Roman" w:hAnsi="Times New Roman" w:cs="Times New Roman"/>
          <w:sz w:val="28"/>
          <w:szCs w:val="28"/>
        </w:rPr>
        <w:t xml:space="preserve">, or abandon the cases. The staff is </w:t>
      </w:r>
      <w:r w:rsidR="001357C0" w:rsidRPr="004A4D63">
        <w:rPr>
          <w:rFonts w:ascii="Times New Roman" w:hAnsi="Times New Roman" w:cs="Times New Roman"/>
          <w:sz w:val="28"/>
          <w:szCs w:val="28"/>
        </w:rPr>
        <w:t xml:space="preserve">checked by the agency heads who must </w:t>
      </w:r>
      <w:r w:rsidRPr="004A4D63">
        <w:rPr>
          <w:rFonts w:ascii="Times New Roman" w:hAnsi="Times New Roman" w:cs="Times New Roman"/>
          <w:sz w:val="28"/>
          <w:szCs w:val="28"/>
        </w:rPr>
        <w:t xml:space="preserve">greenlight </w:t>
      </w:r>
      <w:r w:rsidR="006B06C8">
        <w:rPr>
          <w:rFonts w:ascii="Times New Roman" w:hAnsi="Times New Roman" w:cs="Times New Roman"/>
          <w:sz w:val="28"/>
          <w:szCs w:val="28"/>
        </w:rPr>
        <w:t xml:space="preserve">the staff’s </w:t>
      </w:r>
      <w:r w:rsidR="001357C0" w:rsidRPr="004A4D63">
        <w:rPr>
          <w:rFonts w:ascii="Times New Roman" w:hAnsi="Times New Roman" w:cs="Times New Roman"/>
          <w:sz w:val="28"/>
          <w:szCs w:val="28"/>
        </w:rPr>
        <w:t>decision</w:t>
      </w:r>
      <w:r w:rsidR="0006033A" w:rsidRPr="004A4D63">
        <w:rPr>
          <w:rFonts w:ascii="Times New Roman" w:hAnsi="Times New Roman" w:cs="Times New Roman"/>
          <w:sz w:val="28"/>
          <w:szCs w:val="28"/>
        </w:rPr>
        <w:t>.</w:t>
      </w:r>
      <w:r w:rsidR="001357C0" w:rsidRPr="004A4D63">
        <w:rPr>
          <w:rFonts w:ascii="Times New Roman" w:hAnsi="Times New Roman" w:cs="Times New Roman"/>
          <w:sz w:val="28"/>
          <w:szCs w:val="28"/>
        </w:rPr>
        <w:t xml:space="preserve"> In practice, the heads almost always back the staff</w:t>
      </w:r>
      <w:r w:rsidR="002C175C" w:rsidRPr="004A4D63">
        <w:rPr>
          <w:rFonts w:ascii="Times New Roman" w:hAnsi="Times New Roman" w:cs="Times New Roman"/>
          <w:sz w:val="28"/>
          <w:szCs w:val="28"/>
        </w:rPr>
        <w:t xml:space="preserve">, but the need for </w:t>
      </w:r>
      <w:r w:rsidR="00075738" w:rsidRPr="004A4D63">
        <w:rPr>
          <w:rFonts w:ascii="Times New Roman" w:hAnsi="Times New Roman" w:cs="Times New Roman"/>
          <w:sz w:val="28"/>
          <w:szCs w:val="28"/>
        </w:rPr>
        <w:t xml:space="preserve">agency head approval </w:t>
      </w:r>
      <w:r w:rsidR="002C175C" w:rsidRPr="004A4D63">
        <w:rPr>
          <w:rFonts w:ascii="Times New Roman" w:hAnsi="Times New Roman" w:cs="Times New Roman"/>
          <w:sz w:val="28"/>
          <w:szCs w:val="28"/>
        </w:rPr>
        <w:t>constrains prosecutorial decisions.</w:t>
      </w:r>
      <w:r w:rsidRPr="004A4D63">
        <w:rPr>
          <w:rStyle w:val="FootnoteReference"/>
          <w:rFonts w:ascii="Times New Roman" w:hAnsi="Times New Roman" w:cs="Times New Roman"/>
          <w:sz w:val="28"/>
          <w:szCs w:val="28"/>
        </w:rPr>
        <w:footnoteReference w:id="99"/>
      </w:r>
      <w:r w:rsidR="002C175C" w:rsidRPr="004A4D63">
        <w:rPr>
          <w:rFonts w:ascii="Times New Roman" w:hAnsi="Times New Roman" w:cs="Times New Roman"/>
          <w:sz w:val="28"/>
          <w:szCs w:val="28"/>
        </w:rPr>
        <w:t xml:space="preserve"> Regulatory targets also </w:t>
      </w:r>
      <w:r w:rsidR="001357C0" w:rsidRPr="004A4D63">
        <w:rPr>
          <w:rFonts w:ascii="Times New Roman" w:hAnsi="Times New Roman" w:cs="Times New Roman"/>
          <w:sz w:val="28"/>
          <w:szCs w:val="28"/>
        </w:rPr>
        <w:t>have substantial ability to influence the</w:t>
      </w:r>
      <w:r w:rsidR="00615FFA" w:rsidRPr="004A4D63">
        <w:rPr>
          <w:rFonts w:ascii="Times New Roman" w:hAnsi="Times New Roman" w:cs="Times New Roman"/>
          <w:sz w:val="28"/>
          <w:szCs w:val="28"/>
        </w:rPr>
        <w:t xml:space="preserve"> notice and comment system employed in many agencies and which are </w:t>
      </w:r>
      <w:r w:rsidR="00B57762" w:rsidRPr="004A4D63">
        <w:rPr>
          <w:rFonts w:ascii="Times New Roman" w:hAnsi="Times New Roman" w:cs="Times New Roman"/>
          <w:sz w:val="28"/>
          <w:szCs w:val="28"/>
        </w:rPr>
        <w:t xml:space="preserve">discussed </w:t>
      </w:r>
      <w:r w:rsidR="001357C0" w:rsidRPr="004A4D63">
        <w:rPr>
          <w:rFonts w:ascii="Times New Roman" w:hAnsi="Times New Roman" w:cs="Times New Roman"/>
          <w:sz w:val="28"/>
          <w:szCs w:val="28"/>
        </w:rPr>
        <w:t>in Part I</w:t>
      </w:r>
      <w:r w:rsidR="00580302" w:rsidRPr="004A4D63">
        <w:rPr>
          <w:rFonts w:ascii="Times New Roman" w:hAnsi="Times New Roman" w:cs="Times New Roman"/>
          <w:sz w:val="28"/>
          <w:szCs w:val="28"/>
        </w:rPr>
        <w:t xml:space="preserve">V </w:t>
      </w:r>
      <w:r w:rsidR="001357C0" w:rsidRPr="004A4D63">
        <w:rPr>
          <w:rFonts w:ascii="Times New Roman" w:hAnsi="Times New Roman" w:cs="Times New Roman"/>
          <w:sz w:val="28"/>
          <w:szCs w:val="28"/>
        </w:rPr>
        <w:t>of this</w:t>
      </w:r>
      <w:r w:rsidR="00816D61" w:rsidRPr="004A4D63">
        <w:rPr>
          <w:rFonts w:ascii="Times New Roman" w:hAnsi="Times New Roman" w:cs="Times New Roman"/>
          <w:sz w:val="28"/>
          <w:szCs w:val="28"/>
        </w:rPr>
        <w:t xml:space="preserve"> article. </w:t>
      </w:r>
      <w:r w:rsidR="00D2032E" w:rsidRPr="004A4D63">
        <w:rPr>
          <w:rFonts w:ascii="Times New Roman" w:hAnsi="Times New Roman" w:cs="Times New Roman"/>
          <w:sz w:val="28"/>
          <w:szCs w:val="28"/>
        </w:rPr>
        <w:t>Thus,</w:t>
      </w:r>
      <w:r w:rsidR="00B57762" w:rsidRPr="004A4D63">
        <w:rPr>
          <w:rFonts w:ascii="Times New Roman" w:hAnsi="Times New Roman" w:cs="Times New Roman"/>
          <w:sz w:val="28"/>
          <w:szCs w:val="28"/>
        </w:rPr>
        <w:t xml:space="preserve"> the three interests identified by Michaels engage in a competitive struggle within the adjudicatory process, with the same positive effects as traditional inter-branch checks and balances. </w:t>
      </w:r>
      <w:r w:rsidR="001357C0" w:rsidRPr="004A4D63">
        <w:rPr>
          <w:rFonts w:ascii="Times New Roman" w:hAnsi="Times New Roman" w:cs="Times New Roman"/>
          <w:sz w:val="28"/>
          <w:szCs w:val="28"/>
        </w:rPr>
        <w:t xml:space="preserve">Because, as discussed above, </w:t>
      </w:r>
      <w:r w:rsidR="00580302" w:rsidRPr="004A4D63">
        <w:rPr>
          <w:rFonts w:ascii="Times New Roman" w:hAnsi="Times New Roman" w:cs="Times New Roman"/>
          <w:sz w:val="28"/>
          <w:szCs w:val="28"/>
        </w:rPr>
        <w:t>external separation of powers ha</w:t>
      </w:r>
      <w:r w:rsidR="00B57762" w:rsidRPr="004A4D63">
        <w:rPr>
          <w:rFonts w:ascii="Times New Roman" w:hAnsi="Times New Roman" w:cs="Times New Roman"/>
          <w:sz w:val="28"/>
          <w:szCs w:val="28"/>
        </w:rPr>
        <w:t>s</w:t>
      </w:r>
      <w:r w:rsidR="00580302" w:rsidRPr="004A4D63">
        <w:rPr>
          <w:rFonts w:ascii="Times New Roman" w:hAnsi="Times New Roman" w:cs="Times New Roman"/>
          <w:sz w:val="28"/>
          <w:szCs w:val="28"/>
        </w:rPr>
        <w:t xml:space="preserve"> almost no influence over charging decisions,</w:t>
      </w:r>
      <w:r w:rsidR="00B57762" w:rsidRPr="004A4D63">
        <w:rPr>
          <w:rStyle w:val="FootnoteReference"/>
          <w:rFonts w:ascii="Times New Roman" w:hAnsi="Times New Roman" w:cs="Times New Roman"/>
          <w:sz w:val="28"/>
          <w:szCs w:val="28"/>
        </w:rPr>
        <w:footnoteReference w:id="100"/>
      </w:r>
      <w:r w:rsidR="00580302" w:rsidRPr="004A4D63">
        <w:rPr>
          <w:rFonts w:ascii="Times New Roman" w:hAnsi="Times New Roman" w:cs="Times New Roman"/>
          <w:sz w:val="28"/>
          <w:szCs w:val="28"/>
        </w:rPr>
        <w:t xml:space="preserve"> </w:t>
      </w:r>
      <w:r w:rsidR="001357C0" w:rsidRPr="004A4D63">
        <w:rPr>
          <w:rFonts w:ascii="Times New Roman" w:hAnsi="Times New Roman" w:cs="Times New Roman"/>
          <w:sz w:val="28"/>
          <w:szCs w:val="28"/>
        </w:rPr>
        <w:t xml:space="preserve">internal separation of powers </w:t>
      </w:r>
      <w:r w:rsidR="008C4B94" w:rsidRPr="004A4D63">
        <w:rPr>
          <w:rFonts w:ascii="Times New Roman" w:hAnsi="Times New Roman" w:cs="Times New Roman"/>
          <w:sz w:val="28"/>
          <w:szCs w:val="28"/>
        </w:rPr>
        <w:t xml:space="preserve">seems to be an attractive alternative. </w:t>
      </w:r>
    </w:p>
    <w:p w14:paraId="4AC9F294" w14:textId="759D6FE0" w:rsidR="0006033A" w:rsidRPr="004A4D63" w:rsidRDefault="00540C63" w:rsidP="0065383A">
      <w:pPr>
        <w:spacing w:line="480" w:lineRule="auto"/>
        <w:rPr>
          <w:sz w:val="28"/>
          <w:szCs w:val="28"/>
        </w:rPr>
      </w:pPr>
      <w:r w:rsidRPr="004A4D63">
        <w:rPr>
          <w:sz w:val="28"/>
          <w:szCs w:val="28"/>
        </w:rPr>
        <w:t xml:space="preserve">        </w:t>
      </w:r>
      <w:r w:rsidR="003B577A" w:rsidRPr="004A4D63">
        <w:rPr>
          <w:sz w:val="28"/>
          <w:szCs w:val="28"/>
        </w:rPr>
        <w:t>3</w:t>
      </w:r>
      <w:r w:rsidR="0006033A" w:rsidRPr="004A4D63">
        <w:rPr>
          <w:sz w:val="28"/>
          <w:szCs w:val="28"/>
        </w:rPr>
        <w:t>. The principal-agent problem</w:t>
      </w:r>
      <w:r w:rsidR="00EB1791" w:rsidRPr="004A4D63">
        <w:rPr>
          <w:sz w:val="28"/>
          <w:szCs w:val="28"/>
        </w:rPr>
        <w:t xml:space="preserve">  </w:t>
      </w:r>
    </w:p>
    <w:p w14:paraId="15F57CBE" w14:textId="2222A045" w:rsidR="00DE54A7" w:rsidRPr="004A4D63" w:rsidRDefault="0006033A" w:rsidP="0065383A">
      <w:pPr>
        <w:spacing w:line="480" w:lineRule="auto"/>
        <w:rPr>
          <w:sz w:val="28"/>
          <w:szCs w:val="28"/>
        </w:rPr>
      </w:pPr>
      <w:r w:rsidRPr="004A4D63">
        <w:rPr>
          <w:sz w:val="28"/>
          <w:szCs w:val="28"/>
        </w:rPr>
        <w:tab/>
      </w:r>
      <w:r w:rsidR="00540C63" w:rsidRPr="004A4D63">
        <w:rPr>
          <w:sz w:val="28"/>
          <w:szCs w:val="28"/>
        </w:rPr>
        <w:t>Prosecutorial decisions or settlements can represent a principal-agen</w:t>
      </w:r>
      <w:r w:rsidR="001477D7" w:rsidRPr="004A4D63">
        <w:rPr>
          <w:sz w:val="28"/>
          <w:szCs w:val="28"/>
        </w:rPr>
        <w:t>t</w:t>
      </w:r>
      <w:r w:rsidR="00540C63" w:rsidRPr="004A4D63">
        <w:rPr>
          <w:sz w:val="28"/>
          <w:szCs w:val="28"/>
        </w:rPr>
        <w:t xml:space="preserve"> problem if the</w:t>
      </w:r>
      <w:r w:rsidR="00580302" w:rsidRPr="004A4D63">
        <w:rPr>
          <w:sz w:val="28"/>
          <w:szCs w:val="28"/>
        </w:rPr>
        <w:t xml:space="preserve"> preferences </w:t>
      </w:r>
      <w:r w:rsidR="008C4B94" w:rsidRPr="004A4D63">
        <w:rPr>
          <w:sz w:val="28"/>
          <w:szCs w:val="28"/>
        </w:rPr>
        <w:t xml:space="preserve">and priorities </w:t>
      </w:r>
      <w:r w:rsidR="00580302" w:rsidRPr="004A4D63">
        <w:rPr>
          <w:sz w:val="28"/>
          <w:szCs w:val="28"/>
        </w:rPr>
        <w:t xml:space="preserve">of </w:t>
      </w:r>
      <w:r w:rsidR="00B24E27" w:rsidRPr="004A4D63">
        <w:rPr>
          <w:sz w:val="28"/>
          <w:szCs w:val="28"/>
        </w:rPr>
        <w:t xml:space="preserve">staff </w:t>
      </w:r>
      <w:r w:rsidR="00580302" w:rsidRPr="004A4D63">
        <w:rPr>
          <w:sz w:val="28"/>
          <w:szCs w:val="28"/>
        </w:rPr>
        <w:t>prosecutors</w:t>
      </w:r>
      <w:r w:rsidR="00540C63" w:rsidRPr="004A4D63">
        <w:rPr>
          <w:sz w:val="28"/>
          <w:szCs w:val="28"/>
        </w:rPr>
        <w:t xml:space="preserve"> </w:t>
      </w:r>
      <w:r w:rsidR="00EF496A" w:rsidRPr="004A4D63">
        <w:rPr>
          <w:sz w:val="28"/>
          <w:szCs w:val="28"/>
        </w:rPr>
        <w:t xml:space="preserve">fail to </w:t>
      </w:r>
      <w:r w:rsidR="00540C63" w:rsidRPr="004A4D63">
        <w:rPr>
          <w:sz w:val="28"/>
          <w:szCs w:val="28"/>
        </w:rPr>
        <w:t>align with th</w:t>
      </w:r>
      <w:r w:rsidR="001477D7" w:rsidRPr="004A4D63">
        <w:rPr>
          <w:sz w:val="28"/>
          <w:szCs w:val="28"/>
        </w:rPr>
        <w:t xml:space="preserve">ose </w:t>
      </w:r>
      <w:r w:rsidR="001477D7" w:rsidRPr="004A4D63">
        <w:rPr>
          <w:sz w:val="28"/>
          <w:szCs w:val="28"/>
        </w:rPr>
        <w:lastRenderedPageBreak/>
        <w:t xml:space="preserve">of the </w:t>
      </w:r>
      <w:r w:rsidR="00540C63" w:rsidRPr="004A4D63">
        <w:rPr>
          <w:sz w:val="28"/>
          <w:szCs w:val="28"/>
        </w:rPr>
        <w:t xml:space="preserve">agency heads. </w:t>
      </w:r>
      <w:r w:rsidR="001357C0" w:rsidRPr="004A4D63">
        <w:rPr>
          <w:sz w:val="28"/>
          <w:szCs w:val="28"/>
        </w:rPr>
        <w:t xml:space="preserve">Misalignment of </w:t>
      </w:r>
      <w:r w:rsidR="00615FFA" w:rsidRPr="004A4D63">
        <w:rPr>
          <w:sz w:val="28"/>
          <w:szCs w:val="28"/>
        </w:rPr>
        <w:t xml:space="preserve">prosecutorial </w:t>
      </w:r>
      <w:r w:rsidR="001357C0" w:rsidRPr="004A4D63">
        <w:rPr>
          <w:sz w:val="28"/>
          <w:szCs w:val="28"/>
        </w:rPr>
        <w:t xml:space="preserve">priorities between agency and staff can </w:t>
      </w:r>
      <w:r w:rsidR="00615FFA" w:rsidRPr="004A4D63">
        <w:rPr>
          <w:sz w:val="28"/>
          <w:szCs w:val="28"/>
        </w:rPr>
        <w:t xml:space="preserve">produce </w:t>
      </w:r>
      <w:r w:rsidR="001357C0" w:rsidRPr="004A4D63">
        <w:rPr>
          <w:sz w:val="28"/>
          <w:szCs w:val="28"/>
        </w:rPr>
        <w:t xml:space="preserve">either over- or under-enforcement. </w:t>
      </w:r>
    </w:p>
    <w:p w14:paraId="10A2D7DB" w14:textId="148AACAA" w:rsidR="007B2137" w:rsidRPr="004A4D63" w:rsidRDefault="00DE54A7" w:rsidP="0065383A">
      <w:pPr>
        <w:spacing w:line="480" w:lineRule="auto"/>
        <w:rPr>
          <w:sz w:val="28"/>
          <w:szCs w:val="28"/>
        </w:rPr>
      </w:pPr>
      <w:r w:rsidRPr="004A4D63">
        <w:rPr>
          <w:sz w:val="28"/>
          <w:szCs w:val="28"/>
        </w:rPr>
        <w:tab/>
      </w:r>
      <w:r w:rsidR="001357C0" w:rsidRPr="004A4D63">
        <w:rPr>
          <w:sz w:val="28"/>
          <w:szCs w:val="28"/>
        </w:rPr>
        <w:t xml:space="preserve">Agency prosecutors sometimes want to </w:t>
      </w:r>
      <w:r w:rsidR="002862FD" w:rsidRPr="004A4D63">
        <w:rPr>
          <w:sz w:val="28"/>
          <w:szCs w:val="28"/>
        </w:rPr>
        <w:t xml:space="preserve">over-enforce by </w:t>
      </w:r>
      <w:r w:rsidR="001357C0" w:rsidRPr="004A4D63">
        <w:rPr>
          <w:sz w:val="28"/>
          <w:szCs w:val="28"/>
        </w:rPr>
        <w:t>push</w:t>
      </w:r>
      <w:r w:rsidR="002862FD" w:rsidRPr="004A4D63">
        <w:rPr>
          <w:sz w:val="28"/>
          <w:szCs w:val="28"/>
        </w:rPr>
        <w:t>ing</w:t>
      </w:r>
      <w:r w:rsidR="001357C0" w:rsidRPr="004A4D63">
        <w:rPr>
          <w:sz w:val="28"/>
          <w:szCs w:val="28"/>
        </w:rPr>
        <w:t xml:space="preserve"> the envelope to pursue targets they perceive as wrongdoers</w:t>
      </w:r>
      <w:r w:rsidR="001477D7" w:rsidRPr="004A4D63">
        <w:rPr>
          <w:sz w:val="28"/>
          <w:szCs w:val="28"/>
        </w:rPr>
        <w:t>,</w:t>
      </w:r>
      <w:r w:rsidR="001357C0" w:rsidRPr="004A4D63">
        <w:rPr>
          <w:sz w:val="28"/>
          <w:szCs w:val="28"/>
        </w:rPr>
        <w:t xml:space="preserve"> even if the evidentiary basis </w:t>
      </w:r>
      <w:r w:rsidR="00580302" w:rsidRPr="004A4D63">
        <w:rPr>
          <w:sz w:val="28"/>
          <w:szCs w:val="28"/>
        </w:rPr>
        <w:t xml:space="preserve">for doing so </w:t>
      </w:r>
      <w:r w:rsidR="001357C0" w:rsidRPr="004A4D63">
        <w:rPr>
          <w:sz w:val="28"/>
          <w:szCs w:val="28"/>
        </w:rPr>
        <w:t>is questionable or the legal theory is not well supported by existing precedent.</w:t>
      </w:r>
      <w:r w:rsidR="001357C0" w:rsidRPr="004A4D63">
        <w:rPr>
          <w:rStyle w:val="FootnoteReference"/>
          <w:sz w:val="28"/>
          <w:szCs w:val="28"/>
        </w:rPr>
        <w:footnoteReference w:id="101"/>
      </w:r>
      <w:r w:rsidR="001357C0" w:rsidRPr="004A4D63">
        <w:rPr>
          <w:sz w:val="28"/>
          <w:szCs w:val="28"/>
        </w:rPr>
        <w:t xml:space="preserve"> The staff may be pursuing a “crackdown” by allocating resources to a particular class of cases that the heads </w:t>
      </w:r>
      <w:r w:rsidR="008C4B94" w:rsidRPr="004A4D63">
        <w:rPr>
          <w:sz w:val="28"/>
          <w:szCs w:val="28"/>
        </w:rPr>
        <w:t xml:space="preserve">do </w:t>
      </w:r>
      <w:r w:rsidR="001357C0" w:rsidRPr="004A4D63">
        <w:rPr>
          <w:sz w:val="28"/>
          <w:szCs w:val="28"/>
        </w:rPr>
        <w:t>not support.</w:t>
      </w:r>
      <w:r w:rsidR="001357C0" w:rsidRPr="004A4D63">
        <w:rPr>
          <w:rStyle w:val="FootnoteReference"/>
          <w:sz w:val="28"/>
          <w:szCs w:val="28"/>
        </w:rPr>
        <w:footnoteReference w:id="102"/>
      </w:r>
      <w:r w:rsidR="009D1305" w:rsidRPr="004A4D63">
        <w:rPr>
          <w:sz w:val="28"/>
          <w:szCs w:val="28"/>
        </w:rPr>
        <w:t xml:space="preserve"> </w:t>
      </w:r>
      <w:r w:rsidR="00580302" w:rsidRPr="004A4D63">
        <w:rPr>
          <w:sz w:val="28"/>
          <w:szCs w:val="28"/>
        </w:rPr>
        <w:t xml:space="preserve">Prosecutors </w:t>
      </w:r>
      <w:r w:rsidR="009D1305" w:rsidRPr="004A4D63">
        <w:rPr>
          <w:sz w:val="28"/>
          <w:szCs w:val="28"/>
        </w:rPr>
        <w:t xml:space="preserve">may be overcharging to force the target to settle. </w:t>
      </w:r>
      <w:r w:rsidR="001357C0" w:rsidRPr="004A4D63">
        <w:rPr>
          <w:sz w:val="28"/>
          <w:szCs w:val="28"/>
        </w:rPr>
        <w:t>Agency attorneys may have their own future careers in mind rather than the public interest.</w:t>
      </w:r>
      <w:r w:rsidR="001357C0" w:rsidRPr="004A4D63">
        <w:rPr>
          <w:rStyle w:val="FootnoteReference"/>
          <w:sz w:val="28"/>
          <w:szCs w:val="28"/>
        </w:rPr>
        <w:footnoteReference w:id="103"/>
      </w:r>
      <w:r w:rsidR="001357C0" w:rsidRPr="004A4D63">
        <w:rPr>
          <w:sz w:val="28"/>
          <w:szCs w:val="28"/>
        </w:rPr>
        <w:t xml:space="preserve"> </w:t>
      </w:r>
      <w:r w:rsidR="006C763B" w:rsidRPr="004A4D63">
        <w:rPr>
          <w:sz w:val="28"/>
          <w:szCs w:val="28"/>
        </w:rPr>
        <w:t>The staff may wish to use resources unwisely by concentrating on trivial cases that are easier to win or to run up the numbers.</w:t>
      </w:r>
      <w:r w:rsidR="006C763B" w:rsidRPr="004A4D63">
        <w:rPr>
          <w:rStyle w:val="FootnoteReference"/>
          <w:sz w:val="28"/>
          <w:szCs w:val="28"/>
        </w:rPr>
        <w:footnoteReference w:id="104"/>
      </w:r>
      <w:r w:rsidR="006C763B" w:rsidRPr="004A4D63">
        <w:rPr>
          <w:sz w:val="28"/>
          <w:szCs w:val="28"/>
        </w:rPr>
        <w:t xml:space="preserve"> T</w:t>
      </w:r>
      <w:r w:rsidR="001357C0" w:rsidRPr="004A4D63">
        <w:rPr>
          <w:sz w:val="28"/>
          <w:szCs w:val="28"/>
        </w:rPr>
        <w:t xml:space="preserve">hus the requirement that the agency heads </w:t>
      </w:r>
      <w:r w:rsidR="00580302" w:rsidRPr="004A4D63">
        <w:rPr>
          <w:sz w:val="28"/>
          <w:szCs w:val="28"/>
        </w:rPr>
        <w:t xml:space="preserve">greenlight </w:t>
      </w:r>
      <w:r w:rsidR="001357C0" w:rsidRPr="004A4D63">
        <w:rPr>
          <w:sz w:val="28"/>
          <w:szCs w:val="28"/>
        </w:rPr>
        <w:t xml:space="preserve">a charging decision </w:t>
      </w:r>
      <w:r w:rsidR="00540C63" w:rsidRPr="004A4D63">
        <w:rPr>
          <w:sz w:val="28"/>
          <w:szCs w:val="28"/>
        </w:rPr>
        <w:t xml:space="preserve">helps to rectify </w:t>
      </w:r>
      <w:r w:rsidR="00580302" w:rsidRPr="004A4D63">
        <w:rPr>
          <w:sz w:val="28"/>
          <w:szCs w:val="28"/>
        </w:rPr>
        <w:t xml:space="preserve">possible </w:t>
      </w:r>
      <w:r w:rsidR="00540C63" w:rsidRPr="004A4D63">
        <w:rPr>
          <w:sz w:val="28"/>
          <w:szCs w:val="28"/>
        </w:rPr>
        <w:t>misalignment of priorities between staff and agency heads.</w:t>
      </w:r>
      <w:r w:rsidR="00FC72C2" w:rsidRPr="004A4D63">
        <w:rPr>
          <w:sz w:val="28"/>
          <w:szCs w:val="28"/>
        </w:rPr>
        <w:t xml:space="preserve"> </w:t>
      </w:r>
      <w:r w:rsidRPr="004A4D63">
        <w:rPr>
          <w:sz w:val="28"/>
          <w:szCs w:val="28"/>
        </w:rPr>
        <w:t>Such misalignment issues have sometimes surfaced in NLRB unfair labor practice enforcement</w:t>
      </w:r>
      <w:r w:rsidR="001477D7" w:rsidRPr="004A4D63">
        <w:rPr>
          <w:sz w:val="28"/>
          <w:szCs w:val="28"/>
        </w:rPr>
        <w:t xml:space="preserve">, </w:t>
      </w:r>
      <w:r w:rsidRPr="004A4D63">
        <w:rPr>
          <w:sz w:val="28"/>
          <w:szCs w:val="28"/>
        </w:rPr>
        <w:t xml:space="preserve">where the </w:t>
      </w:r>
      <w:r w:rsidR="00FC72C2" w:rsidRPr="004A4D63">
        <w:rPr>
          <w:sz w:val="28"/>
          <w:szCs w:val="28"/>
        </w:rPr>
        <w:t xml:space="preserve">general counsel rather than the </w:t>
      </w:r>
      <w:r w:rsidRPr="004A4D63">
        <w:rPr>
          <w:sz w:val="28"/>
          <w:szCs w:val="28"/>
        </w:rPr>
        <w:t>agency heads control</w:t>
      </w:r>
      <w:r w:rsidR="001477D7" w:rsidRPr="004A4D63">
        <w:rPr>
          <w:sz w:val="28"/>
          <w:szCs w:val="28"/>
        </w:rPr>
        <w:t>s</w:t>
      </w:r>
      <w:r w:rsidRPr="004A4D63">
        <w:rPr>
          <w:sz w:val="28"/>
          <w:szCs w:val="28"/>
        </w:rPr>
        <w:t xml:space="preserve"> charging decisions.</w:t>
      </w:r>
      <w:r w:rsidR="00FC72C2" w:rsidRPr="004A4D63">
        <w:rPr>
          <w:rStyle w:val="FootnoteReference"/>
          <w:sz w:val="28"/>
          <w:szCs w:val="28"/>
        </w:rPr>
        <w:footnoteReference w:id="105"/>
      </w:r>
      <w:r w:rsidR="009614F1" w:rsidRPr="004A4D63">
        <w:rPr>
          <w:sz w:val="28"/>
          <w:szCs w:val="28"/>
        </w:rPr>
        <w:t xml:space="preserve">  In an interesting recent development, the FTC heads voted (3-2) to sue to block Meta’s acquisition of Within, </w:t>
      </w:r>
      <w:r w:rsidR="009614F1" w:rsidRPr="004A4D63">
        <w:rPr>
          <w:i/>
          <w:iCs/>
          <w:sz w:val="28"/>
          <w:szCs w:val="28"/>
        </w:rPr>
        <w:t xml:space="preserve">rejecting </w:t>
      </w:r>
      <w:r w:rsidR="009614F1" w:rsidRPr="004A4D63">
        <w:rPr>
          <w:sz w:val="28"/>
          <w:szCs w:val="28"/>
        </w:rPr>
        <w:t xml:space="preserve">the </w:t>
      </w:r>
      <w:r w:rsidR="009614F1" w:rsidRPr="004A4D63">
        <w:rPr>
          <w:sz w:val="28"/>
          <w:szCs w:val="28"/>
        </w:rPr>
        <w:lastRenderedPageBreak/>
        <w:t>staff’s recommendation</w:t>
      </w:r>
      <w:r w:rsidR="00C546FA" w:rsidRPr="004A4D63">
        <w:rPr>
          <w:sz w:val="28"/>
          <w:szCs w:val="28"/>
        </w:rPr>
        <w:t xml:space="preserve"> not to attack the </w:t>
      </w:r>
      <w:r w:rsidR="00B43917" w:rsidRPr="004A4D63">
        <w:rPr>
          <w:sz w:val="28"/>
          <w:szCs w:val="28"/>
        </w:rPr>
        <w:t>acquisition</w:t>
      </w:r>
      <w:r w:rsidR="009614F1" w:rsidRPr="004A4D63">
        <w:rPr>
          <w:sz w:val="28"/>
          <w:szCs w:val="28"/>
        </w:rPr>
        <w:t>.</w:t>
      </w:r>
      <w:r w:rsidR="009614F1" w:rsidRPr="004A4D63">
        <w:rPr>
          <w:rStyle w:val="FootnoteReference"/>
          <w:sz w:val="28"/>
          <w:szCs w:val="28"/>
        </w:rPr>
        <w:footnoteReference w:id="106"/>
      </w:r>
      <w:r w:rsidR="009614F1" w:rsidRPr="004A4D63">
        <w:rPr>
          <w:sz w:val="28"/>
          <w:szCs w:val="28"/>
        </w:rPr>
        <w:t xml:space="preserve"> This vote reflects misalignment between agency heads and staff that </w:t>
      </w:r>
      <w:r w:rsidR="002862FD" w:rsidRPr="004A4D63">
        <w:rPr>
          <w:sz w:val="28"/>
          <w:szCs w:val="28"/>
        </w:rPr>
        <w:t xml:space="preserve">would produce under-enforcement and was </w:t>
      </w:r>
      <w:r w:rsidR="009614F1" w:rsidRPr="004A4D63">
        <w:rPr>
          <w:sz w:val="28"/>
          <w:szCs w:val="28"/>
        </w:rPr>
        <w:t xml:space="preserve">rectified by a positive greenlighting determination. </w:t>
      </w:r>
    </w:p>
    <w:p w14:paraId="36B011E8" w14:textId="6AFD9ACE" w:rsidR="00540C63" w:rsidRPr="004A4D63" w:rsidRDefault="007B2137" w:rsidP="0065383A">
      <w:pPr>
        <w:spacing w:line="480" w:lineRule="auto"/>
        <w:rPr>
          <w:sz w:val="28"/>
          <w:szCs w:val="28"/>
        </w:rPr>
      </w:pPr>
      <w:r w:rsidRPr="004A4D63">
        <w:rPr>
          <w:sz w:val="28"/>
          <w:szCs w:val="28"/>
        </w:rPr>
        <w:t xml:space="preserve">           In addition to correcting misalignment of priorities</w:t>
      </w:r>
      <w:r w:rsidR="003F081A" w:rsidRPr="004A4D63">
        <w:rPr>
          <w:sz w:val="28"/>
          <w:szCs w:val="28"/>
        </w:rPr>
        <w:t>,</w:t>
      </w:r>
      <w:r w:rsidR="00DE54A7" w:rsidRPr="004A4D63">
        <w:rPr>
          <w:sz w:val="28"/>
          <w:szCs w:val="28"/>
        </w:rPr>
        <w:t xml:space="preserve"> </w:t>
      </w:r>
      <w:r w:rsidRPr="004A4D63">
        <w:rPr>
          <w:sz w:val="28"/>
          <w:szCs w:val="28"/>
        </w:rPr>
        <w:t xml:space="preserve">greenlighting </w:t>
      </w:r>
      <w:r w:rsidR="006C763B" w:rsidRPr="004A4D63">
        <w:rPr>
          <w:sz w:val="28"/>
          <w:szCs w:val="28"/>
        </w:rPr>
        <w:t xml:space="preserve">creates what </w:t>
      </w:r>
      <w:r w:rsidR="00DD1397" w:rsidRPr="004A4D63">
        <w:rPr>
          <w:sz w:val="28"/>
          <w:szCs w:val="28"/>
        </w:rPr>
        <w:t xml:space="preserve">is sometimes called </w:t>
      </w:r>
      <w:r w:rsidRPr="004A4D63">
        <w:rPr>
          <w:sz w:val="28"/>
          <w:szCs w:val="28"/>
        </w:rPr>
        <w:t xml:space="preserve">a “sentinel effect.” The sentinel effect </w:t>
      </w:r>
      <w:r w:rsidR="00DD1397" w:rsidRPr="004A4D63">
        <w:rPr>
          <w:sz w:val="28"/>
          <w:szCs w:val="28"/>
        </w:rPr>
        <w:t xml:space="preserve">means </w:t>
      </w:r>
      <w:r w:rsidRPr="004A4D63">
        <w:rPr>
          <w:sz w:val="28"/>
          <w:szCs w:val="28"/>
        </w:rPr>
        <w:t xml:space="preserve">that people make different decisions when those decisions are subject to check than when they are not. </w:t>
      </w:r>
      <w:r w:rsidR="008C4B94" w:rsidRPr="004A4D63">
        <w:rPr>
          <w:sz w:val="28"/>
          <w:szCs w:val="28"/>
        </w:rPr>
        <w:t>The sentinel effect exists because t</w:t>
      </w:r>
      <w:r w:rsidRPr="004A4D63">
        <w:rPr>
          <w:sz w:val="28"/>
          <w:szCs w:val="28"/>
        </w:rPr>
        <w:t xml:space="preserve">he staff is well acquainted with the enforcement preferences of the chair and the other agency heads. The </w:t>
      </w:r>
      <w:r w:rsidR="006C763B" w:rsidRPr="004A4D63">
        <w:rPr>
          <w:sz w:val="28"/>
          <w:szCs w:val="28"/>
        </w:rPr>
        <w:t xml:space="preserve">heads </w:t>
      </w:r>
      <w:r w:rsidRPr="004A4D63">
        <w:rPr>
          <w:sz w:val="28"/>
          <w:szCs w:val="28"/>
        </w:rPr>
        <w:t xml:space="preserve">may </w:t>
      </w:r>
      <w:r w:rsidR="008C4B94" w:rsidRPr="004A4D63">
        <w:rPr>
          <w:sz w:val="28"/>
          <w:szCs w:val="28"/>
        </w:rPr>
        <w:t xml:space="preserve">have </w:t>
      </w:r>
      <w:r w:rsidRPr="004A4D63">
        <w:rPr>
          <w:sz w:val="28"/>
          <w:szCs w:val="28"/>
        </w:rPr>
        <w:t>ma</w:t>
      </w:r>
      <w:r w:rsidR="008C4B94" w:rsidRPr="004A4D63">
        <w:rPr>
          <w:sz w:val="28"/>
          <w:szCs w:val="28"/>
        </w:rPr>
        <w:t>d</w:t>
      </w:r>
      <w:r w:rsidRPr="004A4D63">
        <w:rPr>
          <w:sz w:val="28"/>
          <w:szCs w:val="28"/>
        </w:rPr>
        <w:t xml:space="preserve">e these preferences clear in discussions with prosecutors, or the prosecutors may discern these preferences from their experience with </w:t>
      </w:r>
      <w:r w:rsidR="006C763B" w:rsidRPr="004A4D63">
        <w:rPr>
          <w:sz w:val="28"/>
          <w:szCs w:val="28"/>
        </w:rPr>
        <w:t xml:space="preserve">past </w:t>
      </w:r>
      <w:r w:rsidRPr="004A4D63">
        <w:rPr>
          <w:sz w:val="28"/>
          <w:szCs w:val="28"/>
        </w:rPr>
        <w:t xml:space="preserve">greenlighting </w:t>
      </w:r>
      <w:r w:rsidR="0067338B" w:rsidRPr="004A4D63">
        <w:rPr>
          <w:sz w:val="28"/>
          <w:szCs w:val="28"/>
        </w:rPr>
        <w:t xml:space="preserve">events. </w:t>
      </w:r>
      <w:r w:rsidR="002862FD" w:rsidRPr="004A4D63">
        <w:rPr>
          <w:sz w:val="28"/>
          <w:szCs w:val="28"/>
        </w:rPr>
        <w:t>S</w:t>
      </w:r>
      <w:r w:rsidR="006C763B" w:rsidRPr="004A4D63">
        <w:rPr>
          <w:sz w:val="28"/>
          <w:szCs w:val="28"/>
        </w:rPr>
        <w:t>taff</w:t>
      </w:r>
      <w:r w:rsidR="002862FD" w:rsidRPr="004A4D63">
        <w:rPr>
          <w:sz w:val="28"/>
          <w:szCs w:val="28"/>
        </w:rPr>
        <w:t xml:space="preserve"> prosecutors</w:t>
      </w:r>
      <w:r w:rsidR="006C763B" w:rsidRPr="004A4D63">
        <w:rPr>
          <w:sz w:val="28"/>
          <w:szCs w:val="28"/>
        </w:rPr>
        <w:t xml:space="preserve"> </w:t>
      </w:r>
      <w:r w:rsidR="002862FD" w:rsidRPr="004A4D63">
        <w:rPr>
          <w:sz w:val="28"/>
          <w:szCs w:val="28"/>
        </w:rPr>
        <w:t xml:space="preserve">might </w:t>
      </w:r>
      <w:r w:rsidRPr="004A4D63">
        <w:rPr>
          <w:sz w:val="28"/>
          <w:szCs w:val="28"/>
        </w:rPr>
        <w:t xml:space="preserve">not advance proposed complaints if they think that the agency heads might reject </w:t>
      </w:r>
      <w:r w:rsidR="00DD1397" w:rsidRPr="004A4D63">
        <w:rPr>
          <w:sz w:val="28"/>
          <w:szCs w:val="28"/>
        </w:rPr>
        <w:t>or narrow</w:t>
      </w:r>
      <w:r w:rsidRPr="004A4D63">
        <w:rPr>
          <w:sz w:val="28"/>
          <w:szCs w:val="28"/>
        </w:rPr>
        <w:t xml:space="preserve"> them</w:t>
      </w:r>
      <w:r w:rsidR="00DD1397" w:rsidRPr="004A4D63">
        <w:rPr>
          <w:sz w:val="28"/>
          <w:szCs w:val="28"/>
        </w:rPr>
        <w:t>,</w:t>
      </w:r>
      <w:r w:rsidRPr="004A4D63">
        <w:rPr>
          <w:sz w:val="28"/>
          <w:szCs w:val="28"/>
        </w:rPr>
        <w:t xml:space="preserve"> or even that there might be a contentious discussion and a split vote at the commission level. I frequently asked interview subjects a counterfactual question: if greenlighting did not exist and the staff was free to choose prosecution targets, would the pattern of prosecutions look different than it does now? Most interviewe</w:t>
      </w:r>
      <w:r w:rsidR="00DD1397" w:rsidRPr="004A4D63">
        <w:rPr>
          <w:sz w:val="28"/>
          <w:szCs w:val="28"/>
        </w:rPr>
        <w:t>es</w:t>
      </w:r>
      <w:r w:rsidRPr="004A4D63">
        <w:rPr>
          <w:sz w:val="28"/>
          <w:szCs w:val="28"/>
        </w:rPr>
        <w:t xml:space="preserve"> answered affirmatively. They believed that the staff would have been more aggressive in </w:t>
      </w:r>
      <w:r w:rsidRPr="004A4D63">
        <w:rPr>
          <w:sz w:val="28"/>
          <w:szCs w:val="28"/>
        </w:rPr>
        <w:lastRenderedPageBreak/>
        <w:t>choosing prosecution targets if their charging decisions were not subject to greenlighting.</w:t>
      </w:r>
      <w:r w:rsidRPr="004A4D63">
        <w:rPr>
          <w:rStyle w:val="FootnoteReference"/>
          <w:sz w:val="28"/>
          <w:szCs w:val="28"/>
        </w:rPr>
        <w:footnoteReference w:id="107"/>
      </w:r>
      <w:r w:rsidRPr="004A4D63">
        <w:rPr>
          <w:sz w:val="28"/>
          <w:szCs w:val="28"/>
        </w:rPr>
        <w:t xml:space="preserve">  </w:t>
      </w:r>
    </w:p>
    <w:p w14:paraId="3C619D0E" w14:textId="54DEE87A" w:rsidR="009063A3" w:rsidRPr="004A4D63" w:rsidRDefault="001357C0" w:rsidP="0065383A">
      <w:pPr>
        <w:spacing w:line="480" w:lineRule="auto"/>
        <w:rPr>
          <w:sz w:val="28"/>
          <w:szCs w:val="28"/>
        </w:rPr>
      </w:pPr>
      <w:r w:rsidRPr="004A4D63">
        <w:rPr>
          <w:sz w:val="28"/>
          <w:szCs w:val="28"/>
        </w:rPr>
        <w:t xml:space="preserve"> </w:t>
      </w:r>
      <w:r w:rsidR="0007268D" w:rsidRPr="004A4D63">
        <w:rPr>
          <w:sz w:val="28"/>
          <w:szCs w:val="28"/>
        </w:rPr>
        <w:tab/>
      </w:r>
      <w:r w:rsidRPr="004A4D63">
        <w:rPr>
          <w:sz w:val="28"/>
          <w:szCs w:val="28"/>
        </w:rPr>
        <w:t xml:space="preserve"> Agency head approval obviously is less effective as a check on under-enforcement </w:t>
      </w:r>
      <w:r w:rsidR="00580302" w:rsidRPr="004A4D63">
        <w:rPr>
          <w:sz w:val="28"/>
          <w:szCs w:val="28"/>
        </w:rPr>
        <w:t xml:space="preserve">(as opposed to over-enforcement) </w:t>
      </w:r>
      <w:r w:rsidRPr="004A4D63">
        <w:rPr>
          <w:sz w:val="28"/>
          <w:szCs w:val="28"/>
        </w:rPr>
        <w:t xml:space="preserve">since the heads </w:t>
      </w:r>
      <w:r w:rsidR="00FD2E76">
        <w:rPr>
          <w:sz w:val="28"/>
          <w:szCs w:val="28"/>
        </w:rPr>
        <w:t xml:space="preserve">may not </w:t>
      </w:r>
      <w:r w:rsidRPr="004A4D63">
        <w:rPr>
          <w:sz w:val="28"/>
          <w:szCs w:val="28"/>
        </w:rPr>
        <w:t>see cases on which the staff has passed.</w:t>
      </w:r>
      <w:r w:rsidRPr="004A4D63">
        <w:rPr>
          <w:rStyle w:val="FootnoteReference"/>
          <w:sz w:val="28"/>
          <w:szCs w:val="28"/>
        </w:rPr>
        <w:footnoteReference w:id="108"/>
      </w:r>
      <w:r w:rsidRPr="004A4D63">
        <w:rPr>
          <w:sz w:val="28"/>
          <w:szCs w:val="28"/>
        </w:rPr>
        <w:t xml:space="preserve"> </w:t>
      </w:r>
      <w:r w:rsidR="00210661" w:rsidRPr="004A4D63">
        <w:rPr>
          <w:sz w:val="28"/>
          <w:szCs w:val="28"/>
        </w:rPr>
        <w:t xml:space="preserve">In particularly important cases, a staff recommendation </w:t>
      </w:r>
      <w:r w:rsidR="00210661" w:rsidRPr="004A4D63">
        <w:rPr>
          <w:i/>
          <w:iCs/>
          <w:sz w:val="28"/>
          <w:szCs w:val="28"/>
        </w:rPr>
        <w:t>not</w:t>
      </w:r>
      <w:r w:rsidR="00210661" w:rsidRPr="004A4D63">
        <w:rPr>
          <w:sz w:val="28"/>
          <w:szCs w:val="28"/>
        </w:rPr>
        <w:t xml:space="preserve"> to charge may enter the greenlighting process and enable the agency heads to reject the staff’s decision by increasing the level of enforcement, as </w:t>
      </w:r>
      <w:r w:rsidR="0067338B" w:rsidRPr="004A4D63">
        <w:rPr>
          <w:sz w:val="28"/>
          <w:szCs w:val="28"/>
        </w:rPr>
        <w:t xml:space="preserve">occurred </w:t>
      </w:r>
      <w:r w:rsidR="00210661" w:rsidRPr="004A4D63">
        <w:rPr>
          <w:sz w:val="28"/>
          <w:szCs w:val="28"/>
        </w:rPr>
        <w:t>in the FTC’s decision to sue Meta discussed above.  In less important cases, t</w:t>
      </w:r>
      <w:r w:rsidR="00B93C44" w:rsidRPr="004A4D63">
        <w:rPr>
          <w:sz w:val="28"/>
          <w:szCs w:val="28"/>
        </w:rPr>
        <w:t>h</w:t>
      </w:r>
      <w:r w:rsidR="006C763B" w:rsidRPr="004A4D63">
        <w:rPr>
          <w:sz w:val="28"/>
          <w:szCs w:val="28"/>
        </w:rPr>
        <w:t xml:space="preserve">e under-enforcement problem </w:t>
      </w:r>
      <w:r w:rsidR="00B93C44" w:rsidRPr="004A4D63">
        <w:rPr>
          <w:sz w:val="28"/>
          <w:szCs w:val="28"/>
        </w:rPr>
        <w:t>is often addressed by informal communications between the chair and the general counsel.</w:t>
      </w:r>
      <w:r w:rsidR="00B93C44" w:rsidRPr="004A4D63">
        <w:rPr>
          <w:rStyle w:val="FootnoteReference"/>
          <w:sz w:val="28"/>
          <w:szCs w:val="28"/>
        </w:rPr>
        <w:footnoteReference w:id="109"/>
      </w:r>
      <w:r w:rsidR="00B93C44" w:rsidRPr="004A4D63">
        <w:rPr>
          <w:sz w:val="28"/>
          <w:szCs w:val="28"/>
        </w:rPr>
        <w:t xml:space="preserve"> </w:t>
      </w:r>
    </w:p>
    <w:p w14:paraId="33A68475" w14:textId="5B939F64" w:rsidR="009147C5" w:rsidRPr="004A4D63" w:rsidRDefault="009147C5" w:rsidP="0065383A">
      <w:pPr>
        <w:spacing w:line="480" w:lineRule="auto"/>
        <w:rPr>
          <w:b/>
          <w:bCs/>
          <w:sz w:val="28"/>
          <w:szCs w:val="28"/>
        </w:rPr>
      </w:pPr>
      <w:r w:rsidRPr="004A4D63">
        <w:rPr>
          <w:b/>
          <w:bCs/>
          <w:sz w:val="28"/>
          <w:szCs w:val="28"/>
        </w:rPr>
        <w:t xml:space="preserve">B. </w:t>
      </w:r>
      <w:r w:rsidR="004A02FB" w:rsidRPr="004A4D63">
        <w:rPr>
          <w:b/>
          <w:bCs/>
          <w:sz w:val="28"/>
          <w:szCs w:val="28"/>
        </w:rPr>
        <w:t>THE CASE AGAINST AGENCY</w:t>
      </w:r>
      <w:r w:rsidR="00896565" w:rsidRPr="004A4D63">
        <w:rPr>
          <w:b/>
          <w:bCs/>
          <w:sz w:val="28"/>
          <w:szCs w:val="28"/>
        </w:rPr>
        <w:t>-</w:t>
      </w:r>
      <w:r w:rsidR="004A02FB" w:rsidRPr="004A4D63">
        <w:rPr>
          <w:b/>
          <w:bCs/>
          <w:sz w:val="28"/>
          <w:szCs w:val="28"/>
        </w:rPr>
        <w:t>HEAD</w:t>
      </w:r>
      <w:r w:rsidR="001477D7" w:rsidRPr="004A4D63">
        <w:rPr>
          <w:b/>
          <w:bCs/>
          <w:sz w:val="28"/>
          <w:szCs w:val="28"/>
        </w:rPr>
        <w:t xml:space="preserve"> G</w:t>
      </w:r>
      <w:r w:rsidR="004A02FB" w:rsidRPr="004A4D63">
        <w:rPr>
          <w:b/>
          <w:bCs/>
          <w:sz w:val="28"/>
          <w:szCs w:val="28"/>
        </w:rPr>
        <w:t>REENLIGHTING</w:t>
      </w:r>
    </w:p>
    <w:p w14:paraId="14C3F82C" w14:textId="4956A1C9" w:rsidR="009147C5" w:rsidRPr="004A4D63" w:rsidRDefault="009147C5" w:rsidP="00151398">
      <w:pPr>
        <w:spacing w:line="480" w:lineRule="auto"/>
        <w:outlineLvl w:val="0"/>
        <w:rPr>
          <w:sz w:val="28"/>
          <w:szCs w:val="28"/>
        </w:rPr>
      </w:pPr>
      <w:r w:rsidRPr="004A4D63">
        <w:rPr>
          <w:sz w:val="28"/>
          <w:szCs w:val="28"/>
        </w:rPr>
        <w:tab/>
        <w:t xml:space="preserve">1. </w:t>
      </w:r>
      <w:r w:rsidR="00CD1643" w:rsidRPr="004A4D63">
        <w:rPr>
          <w:sz w:val="28"/>
          <w:szCs w:val="28"/>
        </w:rPr>
        <w:t>Co</w:t>
      </w:r>
      <w:r w:rsidRPr="004A4D63">
        <w:rPr>
          <w:sz w:val="28"/>
          <w:szCs w:val="28"/>
        </w:rPr>
        <w:t xml:space="preserve">nfirmation bias  </w:t>
      </w:r>
    </w:p>
    <w:p w14:paraId="13FDFCD6" w14:textId="1B89696C" w:rsidR="00CD1643" w:rsidRPr="004A4D63" w:rsidRDefault="009147C5" w:rsidP="0065383A">
      <w:pPr>
        <w:spacing w:line="480" w:lineRule="auto"/>
        <w:rPr>
          <w:sz w:val="28"/>
          <w:szCs w:val="28"/>
        </w:rPr>
      </w:pPr>
      <w:r w:rsidRPr="004A4D63">
        <w:rPr>
          <w:sz w:val="28"/>
          <w:szCs w:val="28"/>
        </w:rPr>
        <w:tab/>
      </w:r>
      <w:r w:rsidR="008073AB" w:rsidRPr="004A4D63">
        <w:rPr>
          <w:sz w:val="28"/>
          <w:szCs w:val="28"/>
        </w:rPr>
        <w:t xml:space="preserve">         a. </w:t>
      </w:r>
      <w:r w:rsidR="00CD1643" w:rsidRPr="004A4D63">
        <w:rPr>
          <w:sz w:val="28"/>
          <w:szCs w:val="28"/>
        </w:rPr>
        <w:t xml:space="preserve"> The confirmation bias problem</w:t>
      </w:r>
      <w:r w:rsidR="004C248E" w:rsidRPr="004A4D63">
        <w:rPr>
          <w:sz w:val="28"/>
          <w:szCs w:val="28"/>
        </w:rPr>
        <w:t xml:space="preserve">  </w:t>
      </w:r>
      <w:r w:rsidR="00CD1643" w:rsidRPr="004A4D63">
        <w:rPr>
          <w:sz w:val="28"/>
          <w:szCs w:val="28"/>
        </w:rPr>
        <w:t xml:space="preserve"> </w:t>
      </w:r>
    </w:p>
    <w:p w14:paraId="5EE5F496" w14:textId="4DF20099" w:rsidR="0015553E" w:rsidRPr="004A4D63" w:rsidRDefault="00CD1643" w:rsidP="0065383A">
      <w:pPr>
        <w:spacing w:line="480" w:lineRule="auto"/>
        <w:rPr>
          <w:sz w:val="28"/>
          <w:szCs w:val="28"/>
        </w:rPr>
      </w:pPr>
      <w:r w:rsidRPr="004A4D63">
        <w:rPr>
          <w:sz w:val="28"/>
          <w:szCs w:val="28"/>
        </w:rPr>
        <w:tab/>
      </w:r>
      <w:r w:rsidR="009147C5" w:rsidRPr="004A4D63">
        <w:rPr>
          <w:sz w:val="28"/>
          <w:szCs w:val="28"/>
        </w:rPr>
        <w:t>A number of observers of the administrative enforcement process are troubled by the problem of confirmation bias</w:t>
      </w:r>
      <w:r w:rsidR="00A83EA9" w:rsidRPr="004A4D63">
        <w:rPr>
          <w:sz w:val="28"/>
          <w:szCs w:val="28"/>
        </w:rPr>
        <w:t>,</w:t>
      </w:r>
      <w:r w:rsidR="009147C5" w:rsidRPr="004A4D63">
        <w:rPr>
          <w:rStyle w:val="FootnoteReference"/>
          <w:sz w:val="28"/>
          <w:szCs w:val="28"/>
        </w:rPr>
        <w:footnoteReference w:id="110"/>
      </w:r>
      <w:r w:rsidR="009147C5" w:rsidRPr="004A4D63">
        <w:rPr>
          <w:sz w:val="28"/>
          <w:szCs w:val="28"/>
        </w:rPr>
        <w:t xml:space="preserve"> </w:t>
      </w:r>
      <w:r w:rsidR="00A83EA9" w:rsidRPr="004A4D63">
        <w:rPr>
          <w:sz w:val="28"/>
          <w:szCs w:val="28"/>
        </w:rPr>
        <w:t xml:space="preserve">because </w:t>
      </w:r>
      <w:r w:rsidR="0015553E" w:rsidRPr="004A4D63">
        <w:rPr>
          <w:sz w:val="28"/>
          <w:szCs w:val="28"/>
        </w:rPr>
        <w:t xml:space="preserve">the greenlighting </w:t>
      </w:r>
      <w:r w:rsidR="0043286E" w:rsidRPr="004A4D63">
        <w:rPr>
          <w:sz w:val="28"/>
          <w:szCs w:val="28"/>
        </w:rPr>
        <w:t xml:space="preserve">process </w:t>
      </w:r>
      <w:r w:rsidR="00954744" w:rsidRPr="004A4D63">
        <w:rPr>
          <w:sz w:val="28"/>
          <w:szCs w:val="28"/>
        </w:rPr>
        <w:lastRenderedPageBreak/>
        <w:t xml:space="preserve">requires </w:t>
      </w:r>
      <w:r w:rsidR="0015553E" w:rsidRPr="004A4D63">
        <w:rPr>
          <w:sz w:val="28"/>
          <w:szCs w:val="28"/>
        </w:rPr>
        <w:t xml:space="preserve">agency heads </w:t>
      </w:r>
      <w:r w:rsidR="00954744" w:rsidRPr="004A4D63">
        <w:rPr>
          <w:sz w:val="28"/>
          <w:szCs w:val="28"/>
        </w:rPr>
        <w:t xml:space="preserve">to discharge both </w:t>
      </w:r>
      <w:r w:rsidR="0015553E" w:rsidRPr="004A4D63">
        <w:rPr>
          <w:sz w:val="28"/>
          <w:szCs w:val="28"/>
        </w:rPr>
        <w:t>prosecutor</w:t>
      </w:r>
      <w:r w:rsidR="00954744" w:rsidRPr="004A4D63">
        <w:rPr>
          <w:sz w:val="28"/>
          <w:szCs w:val="28"/>
        </w:rPr>
        <w:t>ial a</w:t>
      </w:r>
      <w:r w:rsidR="0015553E" w:rsidRPr="004A4D63">
        <w:rPr>
          <w:sz w:val="28"/>
          <w:szCs w:val="28"/>
        </w:rPr>
        <w:t>nd jud</w:t>
      </w:r>
      <w:r w:rsidR="00954744" w:rsidRPr="004A4D63">
        <w:rPr>
          <w:sz w:val="28"/>
          <w:szCs w:val="28"/>
        </w:rPr>
        <w:t xml:space="preserve">icial functions </w:t>
      </w:r>
      <w:r w:rsidR="0015553E" w:rsidRPr="004A4D63">
        <w:rPr>
          <w:sz w:val="28"/>
          <w:szCs w:val="28"/>
        </w:rPr>
        <w:t>in the same case.</w:t>
      </w:r>
      <w:r w:rsidR="00954744" w:rsidRPr="004A4D63">
        <w:rPr>
          <w:sz w:val="28"/>
          <w:szCs w:val="28"/>
        </w:rPr>
        <w:t xml:space="preserve"> As a result,</w:t>
      </w:r>
      <w:r w:rsidR="009147C5" w:rsidRPr="004A4D63">
        <w:rPr>
          <w:sz w:val="28"/>
          <w:szCs w:val="28"/>
        </w:rPr>
        <w:t xml:space="preserve"> the</w:t>
      </w:r>
      <w:r w:rsidR="00E93682" w:rsidRPr="004A4D63">
        <w:rPr>
          <w:sz w:val="28"/>
          <w:szCs w:val="28"/>
        </w:rPr>
        <w:t xml:space="preserve"> heads </w:t>
      </w:r>
      <w:r w:rsidR="009147C5" w:rsidRPr="004A4D63">
        <w:rPr>
          <w:sz w:val="28"/>
          <w:szCs w:val="28"/>
        </w:rPr>
        <w:t xml:space="preserve">may be unable to render an unbiased final </w:t>
      </w:r>
      <w:r w:rsidR="0015553E" w:rsidRPr="004A4D63">
        <w:rPr>
          <w:sz w:val="28"/>
          <w:szCs w:val="28"/>
        </w:rPr>
        <w:t xml:space="preserve">adjudicatory </w:t>
      </w:r>
      <w:r w:rsidR="009147C5" w:rsidRPr="004A4D63">
        <w:rPr>
          <w:sz w:val="28"/>
          <w:szCs w:val="28"/>
        </w:rPr>
        <w:t>decision</w:t>
      </w:r>
      <w:r w:rsidR="00954744" w:rsidRPr="004A4D63">
        <w:rPr>
          <w:sz w:val="28"/>
          <w:szCs w:val="28"/>
        </w:rPr>
        <w:t xml:space="preserve"> when a case they greenlighted returns to them for the final agency decision.</w:t>
      </w:r>
      <w:r w:rsidR="00954744" w:rsidRPr="004A4D63">
        <w:rPr>
          <w:rStyle w:val="FootnoteReference"/>
          <w:sz w:val="28"/>
          <w:szCs w:val="28"/>
        </w:rPr>
        <w:footnoteReference w:id="111"/>
      </w:r>
      <w:r w:rsidR="009147C5" w:rsidRPr="004A4D63">
        <w:rPr>
          <w:sz w:val="28"/>
          <w:szCs w:val="28"/>
        </w:rPr>
        <w:t xml:space="preserve"> </w:t>
      </w:r>
      <w:r w:rsidR="003D6332" w:rsidRPr="004A4D63">
        <w:rPr>
          <w:sz w:val="28"/>
          <w:szCs w:val="28"/>
        </w:rPr>
        <w:t xml:space="preserve">This concern was identified as early as the famous 1941 </w:t>
      </w:r>
      <w:r w:rsidR="003D6332" w:rsidRPr="004A4D63">
        <w:rPr>
          <w:i/>
          <w:iCs/>
          <w:sz w:val="28"/>
          <w:szCs w:val="28"/>
        </w:rPr>
        <w:t>Report of the Attorney General’s Committee on Administrative Procedure</w:t>
      </w:r>
      <w:r w:rsidR="003D6332" w:rsidRPr="004A4D63">
        <w:rPr>
          <w:sz w:val="28"/>
          <w:szCs w:val="28"/>
        </w:rPr>
        <w:t>, which offered a suggestion to partially remedy the problem.</w:t>
      </w:r>
      <w:r w:rsidR="003D6332" w:rsidRPr="004A4D63">
        <w:rPr>
          <w:rStyle w:val="FootnoteReference"/>
          <w:sz w:val="28"/>
          <w:szCs w:val="28"/>
        </w:rPr>
        <w:footnoteReference w:id="112"/>
      </w:r>
      <w:r w:rsidR="009147C5" w:rsidRPr="004A4D63">
        <w:rPr>
          <w:sz w:val="28"/>
          <w:szCs w:val="28"/>
        </w:rPr>
        <w:t xml:space="preserve"> </w:t>
      </w:r>
    </w:p>
    <w:p w14:paraId="419B3FA0" w14:textId="07EFFF6F" w:rsidR="00CD1643" w:rsidRPr="004A4D63" w:rsidRDefault="0015553E" w:rsidP="0065383A">
      <w:pPr>
        <w:spacing w:line="480" w:lineRule="auto"/>
        <w:rPr>
          <w:sz w:val="28"/>
          <w:szCs w:val="28"/>
        </w:rPr>
      </w:pPr>
      <w:r w:rsidRPr="004A4D63">
        <w:rPr>
          <w:sz w:val="28"/>
          <w:szCs w:val="28"/>
        </w:rPr>
        <w:tab/>
        <w:t xml:space="preserve">Confirmation bias might manifest itself in different ways. </w:t>
      </w:r>
      <w:r w:rsidR="009147C5" w:rsidRPr="004A4D63">
        <w:rPr>
          <w:sz w:val="28"/>
          <w:szCs w:val="28"/>
        </w:rPr>
        <w:t>For example, the</w:t>
      </w:r>
      <w:r w:rsidRPr="004A4D63">
        <w:rPr>
          <w:sz w:val="28"/>
          <w:szCs w:val="28"/>
        </w:rPr>
        <w:t xml:space="preserve"> agency heads </w:t>
      </w:r>
      <w:r w:rsidR="009147C5" w:rsidRPr="004A4D63">
        <w:rPr>
          <w:sz w:val="28"/>
          <w:szCs w:val="28"/>
        </w:rPr>
        <w:t xml:space="preserve">may be reluctant to </w:t>
      </w:r>
      <w:r w:rsidR="003F468C" w:rsidRPr="004A4D63">
        <w:rPr>
          <w:sz w:val="28"/>
          <w:szCs w:val="28"/>
        </w:rPr>
        <w:t>overturn</w:t>
      </w:r>
      <w:r w:rsidR="00905222" w:rsidRPr="004A4D63">
        <w:rPr>
          <w:sz w:val="28"/>
          <w:szCs w:val="28"/>
        </w:rPr>
        <w:t xml:space="preserve"> an </w:t>
      </w:r>
      <w:r w:rsidR="003F468C" w:rsidRPr="004A4D63">
        <w:rPr>
          <w:sz w:val="28"/>
          <w:szCs w:val="28"/>
        </w:rPr>
        <w:t>ALJ’s decision</w:t>
      </w:r>
      <w:r w:rsidR="00905222" w:rsidRPr="004A4D63">
        <w:rPr>
          <w:sz w:val="28"/>
          <w:szCs w:val="28"/>
        </w:rPr>
        <w:t xml:space="preserve"> against the target</w:t>
      </w:r>
      <w:r w:rsidRPr="004A4D63">
        <w:rPr>
          <w:sz w:val="28"/>
          <w:szCs w:val="28"/>
        </w:rPr>
        <w:t xml:space="preserve"> </w:t>
      </w:r>
      <w:r w:rsidR="00905222" w:rsidRPr="004A4D63">
        <w:rPr>
          <w:sz w:val="28"/>
          <w:szCs w:val="28"/>
        </w:rPr>
        <w:t xml:space="preserve">because </w:t>
      </w:r>
      <w:r w:rsidR="002735F4" w:rsidRPr="004A4D63">
        <w:rPr>
          <w:sz w:val="28"/>
          <w:szCs w:val="28"/>
        </w:rPr>
        <w:t xml:space="preserve">doing so </w:t>
      </w:r>
      <w:r w:rsidR="009147C5" w:rsidRPr="004A4D63">
        <w:rPr>
          <w:sz w:val="28"/>
          <w:szCs w:val="28"/>
        </w:rPr>
        <w:t>would suggest that the</w:t>
      </w:r>
      <w:r w:rsidR="001F2176" w:rsidRPr="004A4D63">
        <w:rPr>
          <w:sz w:val="28"/>
          <w:szCs w:val="28"/>
        </w:rPr>
        <w:t xml:space="preserve"> heads </w:t>
      </w:r>
      <w:r w:rsidR="009147C5" w:rsidRPr="004A4D63">
        <w:rPr>
          <w:sz w:val="28"/>
          <w:szCs w:val="28"/>
        </w:rPr>
        <w:t xml:space="preserve">were wrong to have </w:t>
      </w:r>
      <w:r w:rsidR="00905222" w:rsidRPr="004A4D63">
        <w:rPr>
          <w:sz w:val="28"/>
          <w:szCs w:val="28"/>
        </w:rPr>
        <w:t xml:space="preserve">greenlighted </w:t>
      </w:r>
      <w:r w:rsidR="009147C5" w:rsidRPr="004A4D63">
        <w:rPr>
          <w:sz w:val="28"/>
          <w:szCs w:val="28"/>
        </w:rPr>
        <w:t xml:space="preserve">the complaint </w:t>
      </w:r>
      <w:r w:rsidR="00954744" w:rsidRPr="004A4D63">
        <w:rPr>
          <w:sz w:val="28"/>
          <w:szCs w:val="28"/>
        </w:rPr>
        <w:t xml:space="preserve">in the first place and thus </w:t>
      </w:r>
      <w:r w:rsidR="009147C5" w:rsidRPr="004A4D63">
        <w:rPr>
          <w:sz w:val="28"/>
          <w:szCs w:val="28"/>
        </w:rPr>
        <w:t>wasted agency resources.</w:t>
      </w:r>
      <w:r w:rsidR="009147C5" w:rsidRPr="004A4D63">
        <w:rPr>
          <w:rStyle w:val="FootnoteReference"/>
          <w:sz w:val="28"/>
          <w:szCs w:val="28"/>
        </w:rPr>
        <w:footnoteReference w:id="113"/>
      </w:r>
      <w:r w:rsidR="009147C5" w:rsidRPr="004A4D63">
        <w:rPr>
          <w:sz w:val="28"/>
          <w:szCs w:val="28"/>
        </w:rPr>
        <w:t xml:space="preserve"> </w:t>
      </w:r>
      <w:r w:rsidR="00763302" w:rsidRPr="004A4D63">
        <w:rPr>
          <w:sz w:val="28"/>
          <w:szCs w:val="28"/>
        </w:rPr>
        <w:t>And the converse problem exists as well—commissioners who voted against greenlighting the complaint may be reluctant to uphold an ALJ</w:t>
      </w:r>
      <w:r w:rsidR="001F2176" w:rsidRPr="004A4D63">
        <w:rPr>
          <w:sz w:val="28"/>
          <w:szCs w:val="28"/>
        </w:rPr>
        <w:t>’</w:t>
      </w:r>
      <w:r w:rsidR="00763302" w:rsidRPr="004A4D63">
        <w:rPr>
          <w:sz w:val="28"/>
          <w:szCs w:val="28"/>
        </w:rPr>
        <w:t>s decision against the target</w:t>
      </w:r>
      <w:r w:rsidR="00954744" w:rsidRPr="004A4D63">
        <w:rPr>
          <w:sz w:val="28"/>
          <w:szCs w:val="28"/>
        </w:rPr>
        <w:t xml:space="preserve"> </w:t>
      </w:r>
      <w:r w:rsidR="00954744" w:rsidRPr="004A4D63">
        <w:rPr>
          <w:sz w:val="28"/>
          <w:szCs w:val="28"/>
        </w:rPr>
        <w:lastRenderedPageBreak/>
        <w:t xml:space="preserve">because to do so would suggest they were wrong to </w:t>
      </w:r>
      <w:r w:rsidR="001F2176" w:rsidRPr="004A4D63">
        <w:rPr>
          <w:sz w:val="28"/>
          <w:szCs w:val="28"/>
        </w:rPr>
        <w:t xml:space="preserve">have </w:t>
      </w:r>
      <w:r w:rsidR="00954744" w:rsidRPr="004A4D63">
        <w:rPr>
          <w:sz w:val="28"/>
          <w:szCs w:val="28"/>
        </w:rPr>
        <w:t>oppose</w:t>
      </w:r>
      <w:r w:rsidR="001F2176" w:rsidRPr="004A4D63">
        <w:rPr>
          <w:sz w:val="28"/>
          <w:szCs w:val="28"/>
        </w:rPr>
        <w:t>d</w:t>
      </w:r>
      <w:r w:rsidR="00954744" w:rsidRPr="004A4D63">
        <w:rPr>
          <w:sz w:val="28"/>
          <w:szCs w:val="28"/>
        </w:rPr>
        <w:t xml:space="preserve"> the decision to charge</w:t>
      </w:r>
      <w:r w:rsidR="00763302" w:rsidRPr="004A4D63">
        <w:rPr>
          <w:sz w:val="28"/>
          <w:szCs w:val="28"/>
        </w:rPr>
        <w:t>.</w:t>
      </w:r>
      <w:r w:rsidR="00763302" w:rsidRPr="004A4D63">
        <w:rPr>
          <w:rStyle w:val="FootnoteReference"/>
          <w:sz w:val="28"/>
          <w:szCs w:val="28"/>
        </w:rPr>
        <w:footnoteReference w:id="114"/>
      </w:r>
      <w:r w:rsidR="00763302" w:rsidRPr="004A4D63">
        <w:rPr>
          <w:sz w:val="28"/>
          <w:szCs w:val="28"/>
        </w:rPr>
        <w:t xml:space="preserve"> </w:t>
      </w:r>
      <w:r w:rsidR="00FA7574" w:rsidRPr="004A4D63">
        <w:rPr>
          <w:sz w:val="28"/>
          <w:szCs w:val="28"/>
        </w:rPr>
        <w:t xml:space="preserve"> </w:t>
      </w:r>
    </w:p>
    <w:p w14:paraId="2B70F804" w14:textId="5E160DAF" w:rsidR="00622928" w:rsidRPr="004A4D63" w:rsidRDefault="00CD1643" w:rsidP="0065383A">
      <w:pPr>
        <w:spacing w:line="480" w:lineRule="auto"/>
        <w:rPr>
          <w:sz w:val="28"/>
          <w:szCs w:val="28"/>
        </w:rPr>
      </w:pPr>
      <w:r w:rsidRPr="004A4D63">
        <w:rPr>
          <w:sz w:val="28"/>
          <w:szCs w:val="28"/>
        </w:rPr>
        <w:tab/>
      </w:r>
      <w:r w:rsidR="0043286E" w:rsidRPr="004A4D63">
        <w:rPr>
          <w:sz w:val="28"/>
          <w:szCs w:val="28"/>
        </w:rPr>
        <w:t>There is a</w:t>
      </w:r>
      <w:r w:rsidR="0015553E" w:rsidRPr="004A4D63">
        <w:rPr>
          <w:sz w:val="28"/>
          <w:szCs w:val="28"/>
        </w:rPr>
        <w:t xml:space="preserve">nother way that </w:t>
      </w:r>
      <w:r w:rsidR="002735F4" w:rsidRPr="004A4D63">
        <w:rPr>
          <w:sz w:val="28"/>
          <w:szCs w:val="28"/>
        </w:rPr>
        <w:t xml:space="preserve">greenlighting could produce a biased adjudicatory decision.  </w:t>
      </w:r>
      <w:r w:rsidR="0043286E" w:rsidRPr="004A4D63">
        <w:rPr>
          <w:sz w:val="28"/>
          <w:szCs w:val="28"/>
        </w:rPr>
        <w:t>A</w:t>
      </w:r>
      <w:r w:rsidR="0015553E" w:rsidRPr="004A4D63">
        <w:rPr>
          <w:sz w:val="28"/>
          <w:szCs w:val="28"/>
        </w:rPr>
        <w:t xml:space="preserve">gency heads might rely on </w:t>
      </w:r>
      <w:r w:rsidR="00CC6918" w:rsidRPr="004A4D63">
        <w:rPr>
          <w:sz w:val="28"/>
          <w:szCs w:val="28"/>
        </w:rPr>
        <w:t>ex parte information</w:t>
      </w:r>
      <w:r w:rsidR="00954744" w:rsidRPr="004A4D63">
        <w:rPr>
          <w:sz w:val="28"/>
          <w:szCs w:val="28"/>
        </w:rPr>
        <w:t xml:space="preserve">, opinions, and </w:t>
      </w:r>
      <w:r w:rsidR="00CC6918" w:rsidRPr="004A4D63">
        <w:rPr>
          <w:sz w:val="28"/>
          <w:szCs w:val="28"/>
        </w:rPr>
        <w:t xml:space="preserve">anecdotes </w:t>
      </w:r>
      <w:r w:rsidR="00954744" w:rsidRPr="004A4D63">
        <w:rPr>
          <w:sz w:val="28"/>
          <w:szCs w:val="28"/>
        </w:rPr>
        <w:t>c</w:t>
      </w:r>
      <w:r w:rsidR="00CC6918" w:rsidRPr="004A4D63">
        <w:rPr>
          <w:sz w:val="28"/>
          <w:szCs w:val="28"/>
        </w:rPr>
        <w:t>ommunicated to the</w:t>
      </w:r>
      <w:r w:rsidR="0043286E" w:rsidRPr="004A4D63">
        <w:rPr>
          <w:sz w:val="28"/>
          <w:szCs w:val="28"/>
        </w:rPr>
        <w:t>m</w:t>
      </w:r>
      <w:r w:rsidR="00CC6918" w:rsidRPr="004A4D63">
        <w:rPr>
          <w:sz w:val="28"/>
          <w:szCs w:val="28"/>
        </w:rPr>
        <w:t xml:space="preserve"> by the </w:t>
      </w:r>
      <w:r w:rsidR="00954744" w:rsidRPr="004A4D63">
        <w:rPr>
          <w:sz w:val="28"/>
          <w:szCs w:val="28"/>
        </w:rPr>
        <w:t xml:space="preserve">prosecutorial </w:t>
      </w:r>
      <w:r w:rsidR="00CC6918" w:rsidRPr="004A4D63">
        <w:rPr>
          <w:sz w:val="28"/>
          <w:szCs w:val="28"/>
        </w:rPr>
        <w:t xml:space="preserve">staff in </w:t>
      </w:r>
      <w:r w:rsidR="00E16AF4">
        <w:rPr>
          <w:sz w:val="28"/>
          <w:szCs w:val="28"/>
        </w:rPr>
        <w:t xml:space="preserve">the </w:t>
      </w:r>
      <w:r w:rsidR="0015553E" w:rsidRPr="004A4D63">
        <w:rPr>
          <w:sz w:val="28"/>
          <w:szCs w:val="28"/>
        </w:rPr>
        <w:t>meetings that occurred during the greenlighting process</w:t>
      </w:r>
      <w:r w:rsidR="0043286E" w:rsidRPr="004A4D63">
        <w:rPr>
          <w:sz w:val="28"/>
          <w:szCs w:val="28"/>
        </w:rPr>
        <w:t xml:space="preserve">. Yet this material might not </w:t>
      </w:r>
      <w:r w:rsidR="0015553E" w:rsidRPr="004A4D63">
        <w:rPr>
          <w:sz w:val="28"/>
          <w:szCs w:val="28"/>
        </w:rPr>
        <w:t xml:space="preserve">appear in the record of the </w:t>
      </w:r>
      <w:r w:rsidR="00954744" w:rsidRPr="004A4D63">
        <w:rPr>
          <w:sz w:val="28"/>
          <w:szCs w:val="28"/>
        </w:rPr>
        <w:t xml:space="preserve">hearing conducted by the </w:t>
      </w:r>
      <w:r w:rsidR="0043286E" w:rsidRPr="004A4D63">
        <w:rPr>
          <w:sz w:val="28"/>
          <w:szCs w:val="28"/>
        </w:rPr>
        <w:t>ALJ</w:t>
      </w:r>
      <w:r w:rsidR="001F2176" w:rsidRPr="004A4D63">
        <w:rPr>
          <w:sz w:val="28"/>
          <w:szCs w:val="28"/>
        </w:rPr>
        <w:t xml:space="preserve">.  That record </w:t>
      </w:r>
      <w:r w:rsidR="00954744" w:rsidRPr="004A4D63">
        <w:rPr>
          <w:sz w:val="28"/>
          <w:szCs w:val="28"/>
        </w:rPr>
        <w:t>should form the exclusive basis</w:t>
      </w:r>
      <w:r w:rsidR="001F2176" w:rsidRPr="004A4D63">
        <w:rPr>
          <w:sz w:val="28"/>
          <w:szCs w:val="28"/>
        </w:rPr>
        <w:t xml:space="preserve"> on which the heads make </w:t>
      </w:r>
      <w:r w:rsidR="00954744" w:rsidRPr="004A4D63">
        <w:rPr>
          <w:sz w:val="28"/>
          <w:szCs w:val="28"/>
        </w:rPr>
        <w:t>the final adjudicatory decision</w:t>
      </w:r>
      <w:r w:rsidR="0043286E" w:rsidRPr="004A4D63">
        <w:rPr>
          <w:sz w:val="28"/>
          <w:szCs w:val="28"/>
        </w:rPr>
        <w:t xml:space="preserve">. </w:t>
      </w:r>
      <w:r w:rsidR="00E748D8" w:rsidRPr="004A4D63">
        <w:rPr>
          <w:sz w:val="28"/>
          <w:szCs w:val="28"/>
        </w:rPr>
        <w:t>This problem becomes more severe the greater the number and intensity of the contacts between the staff and agency heads</w:t>
      </w:r>
      <w:r w:rsidR="009147C5" w:rsidRPr="004A4D63">
        <w:rPr>
          <w:sz w:val="28"/>
          <w:szCs w:val="28"/>
        </w:rPr>
        <w:t xml:space="preserve"> </w:t>
      </w:r>
      <w:r w:rsidR="00E748D8" w:rsidRPr="004A4D63">
        <w:rPr>
          <w:sz w:val="28"/>
          <w:szCs w:val="28"/>
        </w:rPr>
        <w:t>before the charging decision occurs</w:t>
      </w:r>
      <w:r w:rsidR="00BF52A1" w:rsidRPr="004A4D63">
        <w:rPr>
          <w:sz w:val="28"/>
          <w:szCs w:val="28"/>
        </w:rPr>
        <w:t>. I</w:t>
      </w:r>
      <w:r w:rsidR="00E748D8" w:rsidRPr="004A4D63">
        <w:rPr>
          <w:sz w:val="28"/>
          <w:szCs w:val="28"/>
        </w:rPr>
        <w:t xml:space="preserve">n FERC, </w:t>
      </w:r>
      <w:r w:rsidR="00BF52A1" w:rsidRPr="004A4D63">
        <w:rPr>
          <w:sz w:val="28"/>
          <w:szCs w:val="28"/>
        </w:rPr>
        <w:t xml:space="preserve">for example, such </w:t>
      </w:r>
      <w:r w:rsidR="00E748D8" w:rsidRPr="004A4D63">
        <w:rPr>
          <w:sz w:val="28"/>
          <w:szCs w:val="28"/>
        </w:rPr>
        <w:t xml:space="preserve">communications </w:t>
      </w:r>
      <w:r w:rsidR="00CC6918" w:rsidRPr="004A4D63">
        <w:rPr>
          <w:sz w:val="28"/>
          <w:szCs w:val="28"/>
        </w:rPr>
        <w:t xml:space="preserve">apparently </w:t>
      </w:r>
      <w:r w:rsidR="00E748D8" w:rsidRPr="004A4D63">
        <w:rPr>
          <w:sz w:val="28"/>
          <w:szCs w:val="28"/>
        </w:rPr>
        <w:t>occur frequently over a course of years during the investigatory process.</w:t>
      </w:r>
      <w:r w:rsidR="00E748D8" w:rsidRPr="004A4D63">
        <w:rPr>
          <w:rStyle w:val="FootnoteReference"/>
          <w:sz w:val="28"/>
          <w:szCs w:val="28"/>
        </w:rPr>
        <w:footnoteReference w:id="115"/>
      </w:r>
      <w:r w:rsidR="00184C9A" w:rsidRPr="004A4D63">
        <w:rPr>
          <w:sz w:val="28"/>
          <w:szCs w:val="28"/>
        </w:rPr>
        <w:t xml:space="preserve">  </w:t>
      </w:r>
      <w:r w:rsidR="0015553E" w:rsidRPr="004A4D63">
        <w:rPr>
          <w:sz w:val="28"/>
          <w:szCs w:val="28"/>
        </w:rPr>
        <w:tab/>
      </w:r>
      <w:r w:rsidR="00BF52A1" w:rsidRPr="004A4D63">
        <w:rPr>
          <w:sz w:val="28"/>
          <w:szCs w:val="28"/>
        </w:rPr>
        <w:br/>
      </w:r>
      <w:r w:rsidR="00BF52A1" w:rsidRPr="004A4D63">
        <w:rPr>
          <w:sz w:val="28"/>
          <w:szCs w:val="28"/>
        </w:rPr>
        <w:tab/>
        <w:t>The drafters of the APA were concerned by</w:t>
      </w:r>
      <w:r w:rsidR="008D5622" w:rsidRPr="004A4D63">
        <w:rPr>
          <w:sz w:val="28"/>
          <w:szCs w:val="28"/>
        </w:rPr>
        <w:t xml:space="preserve"> </w:t>
      </w:r>
      <w:r w:rsidR="0015553E" w:rsidRPr="004A4D63">
        <w:rPr>
          <w:sz w:val="28"/>
          <w:szCs w:val="28"/>
        </w:rPr>
        <w:t>the problem of confirmation bias</w:t>
      </w:r>
      <w:r w:rsidR="00E16AF4">
        <w:rPr>
          <w:sz w:val="28"/>
          <w:szCs w:val="28"/>
        </w:rPr>
        <w:t xml:space="preserve"> of staff members that advise decisionmakers</w:t>
      </w:r>
      <w:r w:rsidR="000C4FCF" w:rsidRPr="004A4D63">
        <w:rPr>
          <w:sz w:val="28"/>
          <w:szCs w:val="28"/>
        </w:rPr>
        <w:t>,</w:t>
      </w:r>
      <w:r w:rsidR="0015553E" w:rsidRPr="004A4D63">
        <w:rPr>
          <w:sz w:val="28"/>
          <w:szCs w:val="28"/>
        </w:rPr>
        <w:t xml:space="preserve"> and they instituted a system of </w:t>
      </w:r>
      <w:r w:rsidR="00954744" w:rsidRPr="004A4D63">
        <w:rPr>
          <w:sz w:val="28"/>
          <w:szCs w:val="28"/>
        </w:rPr>
        <w:t xml:space="preserve">internal </w:t>
      </w:r>
      <w:r w:rsidR="0015553E" w:rsidRPr="004A4D63">
        <w:rPr>
          <w:sz w:val="28"/>
          <w:szCs w:val="28"/>
        </w:rPr>
        <w:t>separation of functions to pr</w:t>
      </w:r>
      <w:r w:rsidR="00954744" w:rsidRPr="004A4D63">
        <w:rPr>
          <w:sz w:val="28"/>
          <w:szCs w:val="28"/>
        </w:rPr>
        <w:t xml:space="preserve">otect against </w:t>
      </w:r>
      <w:r w:rsidR="0015553E" w:rsidRPr="004A4D63">
        <w:rPr>
          <w:sz w:val="28"/>
          <w:szCs w:val="28"/>
        </w:rPr>
        <w:t xml:space="preserve">it. </w:t>
      </w:r>
      <w:r w:rsidR="009147C5" w:rsidRPr="004A4D63">
        <w:rPr>
          <w:sz w:val="28"/>
          <w:szCs w:val="28"/>
        </w:rPr>
        <w:t xml:space="preserve">Under </w:t>
      </w:r>
      <w:r w:rsidR="0015553E" w:rsidRPr="004A4D63">
        <w:rPr>
          <w:sz w:val="28"/>
          <w:szCs w:val="28"/>
        </w:rPr>
        <w:t xml:space="preserve">section </w:t>
      </w:r>
      <w:r w:rsidR="009147C5" w:rsidRPr="004A4D63">
        <w:rPr>
          <w:sz w:val="28"/>
          <w:szCs w:val="28"/>
        </w:rPr>
        <w:t xml:space="preserve">554(d) of the </w:t>
      </w:r>
      <w:r w:rsidR="00954744" w:rsidRPr="004A4D63">
        <w:rPr>
          <w:sz w:val="28"/>
          <w:szCs w:val="28"/>
        </w:rPr>
        <w:t xml:space="preserve">APA, </w:t>
      </w:r>
      <w:r w:rsidR="009147C5" w:rsidRPr="004A4D63">
        <w:rPr>
          <w:sz w:val="28"/>
          <w:szCs w:val="28"/>
        </w:rPr>
        <w:t xml:space="preserve">agency staff members who played a significant adversarial role in </w:t>
      </w:r>
      <w:r w:rsidR="00954744" w:rsidRPr="004A4D63">
        <w:rPr>
          <w:sz w:val="28"/>
          <w:szCs w:val="28"/>
        </w:rPr>
        <w:t xml:space="preserve">a </w:t>
      </w:r>
      <w:r w:rsidR="009147C5" w:rsidRPr="004A4D63">
        <w:rPr>
          <w:sz w:val="28"/>
          <w:szCs w:val="28"/>
        </w:rPr>
        <w:t xml:space="preserve">case as prosecutors, investigators or advocates are prohibited from serving as </w:t>
      </w:r>
      <w:r w:rsidR="0015553E" w:rsidRPr="004A4D63">
        <w:rPr>
          <w:sz w:val="28"/>
          <w:szCs w:val="28"/>
        </w:rPr>
        <w:t xml:space="preserve">adjudicatory </w:t>
      </w:r>
      <w:r w:rsidR="009147C5" w:rsidRPr="004A4D63">
        <w:rPr>
          <w:sz w:val="28"/>
          <w:szCs w:val="28"/>
        </w:rPr>
        <w:t xml:space="preserve">decisionmakers or </w:t>
      </w:r>
      <w:r w:rsidR="0014434E" w:rsidRPr="004A4D63">
        <w:rPr>
          <w:sz w:val="28"/>
          <w:szCs w:val="28"/>
        </w:rPr>
        <w:t xml:space="preserve">as </w:t>
      </w:r>
      <w:r w:rsidR="00954744" w:rsidRPr="004A4D63">
        <w:rPr>
          <w:sz w:val="28"/>
          <w:szCs w:val="28"/>
        </w:rPr>
        <w:t xml:space="preserve">off-the-record </w:t>
      </w:r>
      <w:r w:rsidR="009147C5" w:rsidRPr="004A4D63">
        <w:rPr>
          <w:sz w:val="28"/>
          <w:szCs w:val="28"/>
        </w:rPr>
        <w:t xml:space="preserve">advisers to </w:t>
      </w:r>
      <w:r w:rsidR="00954744" w:rsidRPr="004A4D63">
        <w:rPr>
          <w:sz w:val="28"/>
          <w:szCs w:val="28"/>
        </w:rPr>
        <w:t xml:space="preserve">the </w:t>
      </w:r>
      <w:r w:rsidR="009147C5" w:rsidRPr="004A4D63">
        <w:rPr>
          <w:sz w:val="28"/>
          <w:szCs w:val="28"/>
        </w:rPr>
        <w:t xml:space="preserve">decisionmakers. </w:t>
      </w:r>
      <w:r w:rsidR="004154C2" w:rsidRPr="004A4D63">
        <w:rPr>
          <w:sz w:val="28"/>
          <w:szCs w:val="28"/>
        </w:rPr>
        <w:t xml:space="preserve">Congress had </w:t>
      </w:r>
      <w:r w:rsidR="004154C2" w:rsidRPr="004A4D63">
        <w:rPr>
          <w:sz w:val="28"/>
          <w:szCs w:val="28"/>
        </w:rPr>
        <w:lastRenderedPageBreak/>
        <w:t xml:space="preserve">two rationales </w:t>
      </w:r>
      <w:r w:rsidR="0014434E" w:rsidRPr="004A4D63">
        <w:rPr>
          <w:sz w:val="28"/>
          <w:szCs w:val="28"/>
        </w:rPr>
        <w:t xml:space="preserve">for the requirement of internal </w:t>
      </w:r>
      <w:r w:rsidR="009147C5" w:rsidRPr="004A4D63">
        <w:rPr>
          <w:sz w:val="28"/>
          <w:szCs w:val="28"/>
        </w:rPr>
        <w:t>separation of functions</w:t>
      </w:r>
      <w:r w:rsidR="004154C2" w:rsidRPr="004A4D63">
        <w:rPr>
          <w:sz w:val="28"/>
          <w:szCs w:val="28"/>
        </w:rPr>
        <w:t xml:space="preserve">. First, </w:t>
      </w:r>
      <w:r w:rsidR="009147C5" w:rsidRPr="004A4D63">
        <w:rPr>
          <w:sz w:val="28"/>
          <w:szCs w:val="28"/>
        </w:rPr>
        <w:t>a</w:t>
      </w:r>
      <w:r w:rsidR="004154C2" w:rsidRPr="004A4D63">
        <w:rPr>
          <w:sz w:val="28"/>
          <w:szCs w:val="28"/>
        </w:rPr>
        <w:t>n adversarial</w:t>
      </w:r>
      <w:r w:rsidR="009147C5" w:rsidRPr="004A4D63">
        <w:rPr>
          <w:sz w:val="28"/>
          <w:szCs w:val="28"/>
        </w:rPr>
        <w:t xml:space="preserve"> staff member’s prosecutorial or investigative work may have </w:t>
      </w:r>
      <w:r w:rsidR="004154C2" w:rsidRPr="004A4D63">
        <w:rPr>
          <w:sz w:val="28"/>
          <w:szCs w:val="28"/>
        </w:rPr>
        <w:t xml:space="preserve">infused </w:t>
      </w:r>
      <w:r w:rsidR="009147C5" w:rsidRPr="004A4D63">
        <w:rPr>
          <w:sz w:val="28"/>
          <w:szCs w:val="28"/>
        </w:rPr>
        <w:t xml:space="preserve">a “will to win” that distorts </w:t>
      </w:r>
      <w:r w:rsidR="004154C2" w:rsidRPr="004A4D63">
        <w:rPr>
          <w:sz w:val="28"/>
          <w:szCs w:val="28"/>
        </w:rPr>
        <w:t xml:space="preserve">the adversary’s </w:t>
      </w:r>
      <w:r w:rsidR="009147C5" w:rsidRPr="004A4D63">
        <w:rPr>
          <w:sz w:val="28"/>
          <w:szCs w:val="28"/>
        </w:rPr>
        <w:t xml:space="preserve">ability to serve as </w:t>
      </w:r>
      <w:r w:rsidR="00954744" w:rsidRPr="004A4D63">
        <w:rPr>
          <w:sz w:val="28"/>
          <w:szCs w:val="28"/>
        </w:rPr>
        <w:t xml:space="preserve">an </w:t>
      </w:r>
      <w:r w:rsidR="009147C5" w:rsidRPr="004A4D63">
        <w:rPr>
          <w:sz w:val="28"/>
          <w:szCs w:val="28"/>
        </w:rPr>
        <w:t xml:space="preserve">impartial decisionmaker or adviser. </w:t>
      </w:r>
      <w:r w:rsidR="004154C2" w:rsidRPr="004A4D63">
        <w:rPr>
          <w:sz w:val="28"/>
          <w:szCs w:val="28"/>
        </w:rPr>
        <w:t xml:space="preserve">Second, the adversary may have </w:t>
      </w:r>
      <w:r w:rsidR="008D5622" w:rsidRPr="004A4D63">
        <w:rPr>
          <w:sz w:val="28"/>
          <w:szCs w:val="28"/>
        </w:rPr>
        <w:t xml:space="preserve">been exposed to </w:t>
      </w:r>
      <w:r w:rsidR="004154C2" w:rsidRPr="004A4D63">
        <w:rPr>
          <w:sz w:val="28"/>
          <w:szCs w:val="28"/>
        </w:rPr>
        <w:t xml:space="preserve">information </w:t>
      </w:r>
      <w:r w:rsidR="008D5622" w:rsidRPr="004A4D63">
        <w:rPr>
          <w:sz w:val="28"/>
          <w:szCs w:val="28"/>
        </w:rPr>
        <w:t xml:space="preserve">about the facts of the case </w:t>
      </w:r>
      <w:r w:rsidR="004154C2" w:rsidRPr="004A4D63">
        <w:rPr>
          <w:sz w:val="28"/>
          <w:szCs w:val="28"/>
        </w:rPr>
        <w:t xml:space="preserve">or other information about the target and its behavior </w:t>
      </w:r>
      <w:r w:rsidR="008D5622" w:rsidRPr="004A4D63">
        <w:rPr>
          <w:sz w:val="28"/>
          <w:szCs w:val="28"/>
        </w:rPr>
        <w:t xml:space="preserve">that </w:t>
      </w:r>
      <w:r w:rsidR="004154C2" w:rsidRPr="004A4D63">
        <w:rPr>
          <w:sz w:val="28"/>
          <w:szCs w:val="28"/>
        </w:rPr>
        <w:t xml:space="preserve">do not find their way into the </w:t>
      </w:r>
      <w:r w:rsidR="008D5622" w:rsidRPr="004A4D63">
        <w:rPr>
          <w:sz w:val="28"/>
          <w:szCs w:val="28"/>
        </w:rPr>
        <w:t xml:space="preserve">adjudicatory record. </w:t>
      </w:r>
      <w:r w:rsidR="004154C2" w:rsidRPr="004A4D63">
        <w:rPr>
          <w:sz w:val="28"/>
          <w:szCs w:val="28"/>
        </w:rPr>
        <w:t xml:space="preserve"> </w:t>
      </w:r>
      <w:r w:rsidR="001F2176" w:rsidRPr="004A4D63">
        <w:rPr>
          <w:sz w:val="28"/>
          <w:szCs w:val="28"/>
        </w:rPr>
        <w:t>A</w:t>
      </w:r>
      <w:r w:rsidR="009136C4" w:rsidRPr="004A4D63">
        <w:rPr>
          <w:sz w:val="28"/>
          <w:szCs w:val="28"/>
        </w:rPr>
        <w:t xml:space="preserve">s discussed above, </w:t>
      </w:r>
      <w:r w:rsidR="004154C2" w:rsidRPr="004A4D63">
        <w:rPr>
          <w:sz w:val="28"/>
          <w:szCs w:val="28"/>
        </w:rPr>
        <w:t xml:space="preserve">these are the two ways that </w:t>
      </w:r>
      <w:r w:rsidR="003D6332" w:rsidRPr="004A4D63">
        <w:rPr>
          <w:sz w:val="28"/>
          <w:szCs w:val="28"/>
        </w:rPr>
        <w:t xml:space="preserve">greenlighting might </w:t>
      </w:r>
      <w:r w:rsidR="000C4FCF" w:rsidRPr="004A4D63">
        <w:rPr>
          <w:sz w:val="28"/>
          <w:szCs w:val="28"/>
        </w:rPr>
        <w:t xml:space="preserve">also </w:t>
      </w:r>
      <w:r w:rsidR="003D6332" w:rsidRPr="004A4D63">
        <w:rPr>
          <w:sz w:val="28"/>
          <w:szCs w:val="28"/>
        </w:rPr>
        <w:t xml:space="preserve">create </w:t>
      </w:r>
      <w:r w:rsidR="004154C2" w:rsidRPr="004A4D63">
        <w:rPr>
          <w:sz w:val="28"/>
          <w:szCs w:val="28"/>
        </w:rPr>
        <w:t>confirmation bias</w:t>
      </w:r>
      <w:r w:rsidR="000C4FCF" w:rsidRPr="004A4D63">
        <w:rPr>
          <w:sz w:val="28"/>
          <w:szCs w:val="28"/>
        </w:rPr>
        <w:t xml:space="preserve"> at the agency head level</w:t>
      </w:r>
      <w:r w:rsidR="009136C4" w:rsidRPr="004A4D63">
        <w:rPr>
          <w:sz w:val="28"/>
          <w:szCs w:val="28"/>
        </w:rPr>
        <w:t>.</w:t>
      </w:r>
      <w:r w:rsidR="0014434E" w:rsidRPr="004A4D63">
        <w:rPr>
          <w:rStyle w:val="FootnoteReference"/>
          <w:sz w:val="28"/>
          <w:szCs w:val="28"/>
        </w:rPr>
        <w:footnoteReference w:id="116"/>
      </w:r>
      <w:r w:rsidR="004154C2" w:rsidRPr="004A4D63">
        <w:rPr>
          <w:sz w:val="28"/>
          <w:szCs w:val="28"/>
        </w:rPr>
        <w:t xml:space="preserve"> </w:t>
      </w:r>
    </w:p>
    <w:p w14:paraId="04D53B46" w14:textId="56376C9D" w:rsidR="00CD1643" w:rsidRPr="004A4D63" w:rsidRDefault="00622928" w:rsidP="0065383A">
      <w:pPr>
        <w:spacing w:line="480" w:lineRule="auto"/>
        <w:rPr>
          <w:sz w:val="28"/>
          <w:szCs w:val="28"/>
        </w:rPr>
      </w:pPr>
      <w:r w:rsidRPr="004A4D63">
        <w:rPr>
          <w:sz w:val="28"/>
          <w:szCs w:val="28"/>
        </w:rPr>
        <w:tab/>
      </w:r>
      <w:r w:rsidR="00BF52A1" w:rsidRPr="004A4D63">
        <w:rPr>
          <w:sz w:val="28"/>
          <w:szCs w:val="28"/>
        </w:rPr>
        <w:t>However, for reasons to be discussed,</w:t>
      </w:r>
      <w:r w:rsidR="004154C2" w:rsidRPr="004A4D63">
        <w:rPr>
          <w:rStyle w:val="FootnoteReference"/>
          <w:sz w:val="28"/>
          <w:szCs w:val="28"/>
        </w:rPr>
        <w:footnoteReference w:id="117"/>
      </w:r>
      <w:r w:rsidR="00BF52A1" w:rsidRPr="004A4D63">
        <w:rPr>
          <w:sz w:val="28"/>
          <w:szCs w:val="28"/>
        </w:rPr>
        <w:t xml:space="preserve"> </w:t>
      </w:r>
      <w:r w:rsidR="003D6332" w:rsidRPr="004A4D63">
        <w:rPr>
          <w:sz w:val="28"/>
          <w:szCs w:val="28"/>
        </w:rPr>
        <w:t>agency heads are excluded from the</w:t>
      </w:r>
      <w:r w:rsidR="00BF52A1" w:rsidRPr="004A4D63">
        <w:rPr>
          <w:sz w:val="28"/>
          <w:szCs w:val="28"/>
        </w:rPr>
        <w:t xml:space="preserve"> APA</w:t>
      </w:r>
      <w:r w:rsidR="003D6332" w:rsidRPr="004A4D63">
        <w:rPr>
          <w:sz w:val="28"/>
          <w:szCs w:val="28"/>
        </w:rPr>
        <w:t>’s</w:t>
      </w:r>
      <w:r w:rsidR="00BF52A1" w:rsidRPr="004A4D63">
        <w:rPr>
          <w:sz w:val="28"/>
          <w:szCs w:val="28"/>
        </w:rPr>
        <w:t xml:space="preserve"> </w:t>
      </w:r>
      <w:r w:rsidR="004154C2" w:rsidRPr="004A4D63">
        <w:rPr>
          <w:sz w:val="28"/>
          <w:szCs w:val="28"/>
        </w:rPr>
        <w:t>separation of functions requirement</w:t>
      </w:r>
      <w:r w:rsidR="00F7519E" w:rsidRPr="004A4D63">
        <w:rPr>
          <w:sz w:val="28"/>
          <w:szCs w:val="28"/>
        </w:rPr>
        <w:t xml:space="preserve">. </w:t>
      </w:r>
      <w:r w:rsidR="004154C2" w:rsidRPr="004A4D63">
        <w:rPr>
          <w:sz w:val="28"/>
          <w:szCs w:val="28"/>
        </w:rPr>
        <w:t xml:space="preserve"> The </w:t>
      </w:r>
      <w:r w:rsidR="003D6332" w:rsidRPr="004A4D63">
        <w:rPr>
          <w:sz w:val="28"/>
          <w:szCs w:val="28"/>
        </w:rPr>
        <w:t xml:space="preserve">APA allows the </w:t>
      </w:r>
      <w:r w:rsidR="004154C2" w:rsidRPr="004A4D63">
        <w:rPr>
          <w:sz w:val="28"/>
          <w:szCs w:val="28"/>
        </w:rPr>
        <w:t xml:space="preserve">heads </w:t>
      </w:r>
      <w:r w:rsidR="00BF52A1" w:rsidRPr="004A4D63">
        <w:rPr>
          <w:sz w:val="28"/>
          <w:szCs w:val="28"/>
        </w:rPr>
        <w:t xml:space="preserve">to take part in both the </w:t>
      </w:r>
      <w:r w:rsidR="008D5622" w:rsidRPr="004A4D63">
        <w:rPr>
          <w:sz w:val="28"/>
          <w:szCs w:val="28"/>
        </w:rPr>
        <w:t>prosecutor</w:t>
      </w:r>
      <w:r w:rsidR="004154C2" w:rsidRPr="004A4D63">
        <w:rPr>
          <w:sz w:val="28"/>
          <w:szCs w:val="28"/>
        </w:rPr>
        <w:t xml:space="preserve">ial </w:t>
      </w:r>
      <w:r w:rsidR="008D5622" w:rsidRPr="004A4D63">
        <w:rPr>
          <w:sz w:val="28"/>
          <w:szCs w:val="28"/>
        </w:rPr>
        <w:t xml:space="preserve">and </w:t>
      </w:r>
      <w:r w:rsidR="00BF52A1" w:rsidRPr="004A4D63">
        <w:rPr>
          <w:sz w:val="28"/>
          <w:szCs w:val="28"/>
        </w:rPr>
        <w:t>adjudicatory phase</w:t>
      </w:r>
      <w:r w:rsidR="008D5622" w:rsidRPr="004A4D63">
        <w:rPr>
          <w:sz w:val="28"/>
          <w:szCs w:val="28"/>
        </w:rPr>
        <w:t>s</w:t>
      </w:r>
      <w:r w:rsidR="00BF52A1" w:rsidRPr="004A4D63">
        <w:rPr>
          <w:sz w:val="28"/>
          <w:szCs w:val="28"/>
        </w:rPr>
        <w:t xml:space="preserve"> of the case</w:t>
      </w:r>
      <w:r w:rsidR="004154C2" w:rsidRPr="004A4D63">
        <w:rPr>
          <w:sz w:val="28"/>
          <w:szCs w:val="28"/>
        </w:rPr>
        <w:t xml:space="preserve">, </w:t>
      </w:r>
      <w:r w:rsidR="00E16AF4">
        <w:rPr>
          <w:sz w:val="28"/>
          <w:szCs w:val="28"/>
        </w:rPr>
        <w:t xml:space="preserve">a combination of functions that </w:t>
      </w:r>
      <w:r w:rsidR="001F2176" w:rsidRPr="004A4D63">
        <w:rPr>
          <w:sz w:val="28"/>
          <w:szCs w:val="28"/>
        </w:rPr>
        <w:t xml:space="preserve">creates a risk that </w:t>
      </w:r>
      <w:r w:rsidR="004154C2" w:rsidRPr="004A4D63">
        <w:rPr>
          <w:sz w:val="28"/>
          <w:szCs w:val="28"/>
        </w:rPr>
        <w:t xml:space="preserve">they may be </w:t>
      </w:r>
      <w:r w:rsidR="001F2176" w:rsidRPr="004A4D63">
        <w:rPr>
          <w:sz w:val="28"/>
          <w:szCs w:val="28"/>
        </w:rPr>
        <w:t xml:space="preserve">subject to </w:t>
      </w:r>
      <w:r w:rsidR="004154C2" w:rsidRPr="004A4D63">
        <w:rPr>
          <w:sz w:val="28"/>
          <w:szCs w:val="28"/>
        </w:rPr>
        <w:t xml:space="preserve">confirmation bias. </w:t>
      </w:r>
    </w:p>
    <w:p w14:paraId="3E3799A4" w14:textId="67122F44" w:rsidR="009147C5" w:rsidRPr="004A4D63" w:rsidRDefault="00CD1643" w:rsidP="0065383A">
      <w:pPr>
        <w:spacing w:line="480" w:lineRule="auto"/>
        <w:rPr>
          <w:sz w:val="28"/>
          <w:szCs w:val="28"/>
        </w:rPr>
      </w:pPr>
      <w:r w:rsidRPr="004A4D63">
        <w:rPr>
          <w:sz w:val="28"/>
          <w:szCs w:val="28"/>
        </w:rPr>
        <w:tab/>
        <w:t xml:space="preserve">b. </w:t>
      </w:r>
      <w:r w:rsidR="00304991" w:rsidRPr="004A4D63">
        <w:rPr>
          <w:sz w:val="28"/>
          <w:szCs w:val="28"/>
        </w:rPr>
        <w:t xml:space="preserve">Reasons to believe that confirmation bias is not a serious problem. </w:t>
      </w:r>
    </w:p>
    <w:p w14:paraId="7A9B546E" w14:textId="77777777" w:rsidR="00EE6F1C" w:rsidRPr="004A4D63" w:rsidRDefault="009147C5" w:rsidP="0065383A">
      <w:pPr>
        <w:spacing w:line="480" w:lineRule="auto"/>
        <w:rPr>
          <w:sz w:val="28"/>
          <w:szCs w:val="28"/>
        </w:rPr>
      </w:pPr>
      <w:r w:rsidRPr="004A4D63">
        <w:rPr>
          <w:sz w:val="28"/>
          <w:szCs w:val="28"/>
        </w:rPr>
        <w:tab/>
      </w:r>
      <w:r w:rsidR="008D39EE" w:rsidRPr="004A4D63">
        <w:rPr>
          <w:sz w:val="28"/>
          <w:szCs w:val="28"/>
        </w:rPr>
        <w:t xml:space="preserve">In theory, </w:t>
      </w:r>
      <w:r w:rsidR="009136C4" w:rsidRPr="004A4D63">
        <w:rPr>
          <w:sz w:val="28"/>
          <w:szCs w:val="28"/>
        </w:rPr>
        <w:t xml:space="preserve">the risk that agency-head decisionmakers may be </w:t>
      </w:r>
      <w:r w:rsidR="001F2176" w:rsidRPr="004A4D63">
        <w:rPr>
          <w:sz w:val="28"/>
          <w:szCs w:val="28"/>
        </w:rPr>
        <w:t xml:space="preserve">affected </w:t>
      </w:r>
      <w:r w:rsidR="009136C4" w:rsidRPr="004A4D63">
        <w:rPr>
          <w:sz w:val="28"/>
          <w:szCs w:val="28"/>
        </w:rPr>
        <w:t xml:space="preserve">by </w:t>
      </w:r>
      <w:r w:rsidR="008D39EE" w:rsidRPr="004A4D63">
        <w:rPr>
          <w:sz w:val="28"/>
          <w:szCs w:val="28"/>
        </w:rPr>
        <w:t xml:space="preserve">confirmation bias should </w:t>
      </w:r>
      <w:r w:rsidR="009136C4" w:rsidRPr="004A4D63">
        <w:rPr>
          <w:sz w:val="28"/>
          <w:szCs w:val="28"/>
        </w:rPr>
        <w:t>be greatly reduced by the</w:t>
      </w:r>
      <w:r w:rsidR="008D39EE" w:rsidRPr="004A4D63">
        <w:rPr>
          <w:sz w:val="28"/>
          <w:szCs w:val="28"/>
        </w:rPr>
        <w:t xml:space="preserve"> </w:t>
      </w:r>
      <w:r w:rsidR="008D1C02" w:rsidRPr="004A4D63">
        <w:rPr>
          <w:sz w:val="28"/>
          <w:szCs w:val="28"/>
        </w:rPr>
        <w:t>differences in the</w:t>
      </w:r>
      <w:r w:rsidR="00EE6F1C" w:rsidRPr="004A4D63">
        <w:rPr>
          <w:sz w:val="28"/>
          <w:szCs w:val="28"/>
        </w:rPr>
        <w:t xml:space="preserve">ir prosecutorial and adjudicative roles. </w:t>
      </w:r>
      <w:r w:rsidR="008D1C02" w:rsidRPr="004A4D63">
        <w:rPr>
          <w:sz w:val="28"/>
          <w:szCs w:val="28"/>
        </w:rPr>
        <w:t xml:space="preserve"> </w:t>
      </w:r>
      <w:r w:rsidR="008D39EE" w:rsidRPr="004A4D63">
        <w:rPr>
          <w:sz w:val="28"/>
          <w:szCs w:val="28"/>
        </w:rPr>
        <w:t xml:space="preserve">For example, </w:t>
      </w:r>
      <w:r w:rsidR="000E59D2" w:rsidRPr="004A4D63">
        <w:rPr>
          <w:sz w:val="28"/>
          <w:szCs w:val="28"/>
        </w:rPr>
        <w:t xml:space="preserve">the </w:t>
      </w:r>
      <w:r w:rsidRPr="004A4D63">
        <w:rPr>
          <w:sz w:val="28"/>
          <w:szCs w:val="28"/>
        </w:rPr>
        <w:t>burden of proof at the two stages</w:t>
      </w:r>
      <w:r w:rsidR="008D39EE" w:rsidRPr="004A4D63">
        <w:rPr>
          <w:sz w:val="28"/>
          <w:szCs w:val="28"/>
        </w:rPr>
        <w:t xml:space="preserve"> is different. The greenlighting decision </w:t>
      </w:r>
      <w:r w:rsidRPr="004A4D63">
        <w:rPr>
          <w:sz w:val="28"/>
          <w:szCs w:val="28"/>
        </w:rPr>
        <w:t>is based on probable cause to believe that a violation of law has occurred</w:t>
      </w:r>
      <w:r w:rsidR="00101B2D" w:rsidRPr="004A4D63">
        <w:rPr>
          <w:sz w:val="28"/>
          <w:szCs w:val="28"/>
        </w:rPr>
        <w:t xml:space="preserve">. </w:t>
      </w:r>
      <w:r w:rsidR="00C26227" w:rsidRPr="004A4D63">
        <w:rPr>
          <w:sz w:val="28"/>
          <w:szCs w:val="28"/>
        </w:rPr>
        <w:t xml:space="preserve">An adjudicatory decision against the target </w:t>
      </w:r>
      <w:r w:rsidR="00C26227" w:rsidRPr="004A4D63">
        <w:rPr>
          <w:sz w:val="28"/>
          <w:szCs w:val="28"/>
        </w:rPr>
        <w:lastRenderedPageBreak/>
        <w:t>must be supported by a preponderance of the evidence in the record—a far more demanding decisional standard.</w:t>
      </w:r>
      <w:r w:rsidR="008D39EE" w:rsidRPr="004A4D63">
        <w:rPr>
          <w:sz w:val="28"/>
          <w:szCs w:val="28"/>
        </w:rPr>
        <w:t xml:space="preserve"> </w:t>
      </w:r>
    </w:p>
    <w:p w14:paraId="148ABD02" w14:textId="5AE6210B" w:rsidR="009147C5" w:rsidRPr="004A4D63" w:rsidRDefault="00C26227" w:rsidP="0065383A">
      <w:pPr>
        <w:spacing w:line="480" w:lineRule="auto"/>
        <w:rPr>
          <w:sz w:val="28"/>
          <w:szCs w:val="28"/>
        </w:rPr>
      </w:pPr>
      <w:r w:rsidRPr="004A4D63">
        <w:rPr>
          <w:sz w:val="28"/>
          <w:szCs w:val="28"/>
        </w:rPr>
        <w:tab/>
      </w:r>
      <w:r w:rsidR="00EE6F1C" w:rsidRPr="004A4D63">
        <w:rPr>
          <w:sz w:val="28"/>
          <w:szCs w:val="28"/>
        </w:rPr>
        <w:t xml:space="preserve">There are important differences in the cognitive process employed in carrying out the prosecutorial and adjudicatory tasks.  </w:t>
      </w:r>
      <w:r w:rsidR="008D39EE" w:rsidRPr="004A4D63">
        <w:rPr>
          <w:sz w:val="28"/>
          <w:szCs w:val="28"/>
        </w:rPr>
        <w:t xml:space="preserve">When they greenlight </w:t>
      </w:r>
      <w:r w:rsidR="00E16AF4">
        <w:rPr>
          <w:sz w:val="28"/>
          <w:szCs w:val="28"/>
        </w:rPr>
        <w:t xml:space="preserve">a </w:t>
      </w:r>
      <w:r w:rsidR="008D39EE" w:rsidRPr="004A4D63">
        <w:rPr>
          <w:sz w:val="28"/>
          <w:szCs w:val="28"/>
        </w:rPr>
        <w:t xml:space="preserve">complaint, the agency </w:t>
      </w:r>
      <w:r w:rsidRPr="004A4D63">
        <w:rPr>
          <w:sz w:val="28"/>
          <w:szCs w:val="28"/>
        </w:rPr>
        <w:t xml:space="preserve">members </w:t>
      </w:r>
      <w:r w:rsidR="008D39EE" w:rsidRPr="004A4D63">
        <w:rPr>
          <w:sz w:val="28"/>
          <w:szCs w:val="28"/>
        </w:rPr>
        <w:t xml:space="preserve">know they are relying on a one-sided </w:t>
      </w:r>
      <w:r w:rsidR="000E59D2" w:rsidRPr="004A4D63">
        <w:rPr>
          <w:sz w:val="28"/>
          <w:szCs w:val="28"/>
        </w:rPr>
        <w:t xml:space="preserve">ex parte </w:t>
      </w:r>
      <w:r w:rsidR="008D39EE" w:rsidRPr="004A4D63">
        <w:rPr>
          <w:sz w:val="28"/>
          <w:szCs w:val="28"/>
        </w:rPr>
        <w:t xml:space="preserve">staff </w:t>
      </w:r>
      <w:r w:rsidR="000E59D2" w:rsidRPr="004A4D63">
        <w:rPr>
          <w:sz w:val="28"/>
          <w:szCs w:val="28"/>
        </w:rPr>
        <w:t xml:space="preserve">presentation of the evidence in favor of charging. </w:t>
      </w:r>
      <w:r w:rsidR="00101B2D" w:rsidRPr="004A4D63">
        <w:rPr>
          <w:sz w:val="28"/>
          <w:szCs w:val="28"/>
        </w:rPr>
        <w:t xml:space="preserve">Often the staff accepted the credibility of </w:t>
      </w:r>
      <w:r w:rsidR="009136C4" w:rsidRPr="004A4D63">
        <w:rPr>
          <w:sz w:val="28"/>
          <w:szCs w:val="28"/>
        </w:rPr>
        <w:t>outsider</w:t>
      </w:r>
      <w:r w:rsidR="00E16AF4">
        <w:rPr>
          <w:sz w:val="28"/>
          <w:szCs w:val="28"/>
        </w:rPr>
        <w:t xml:space="preserve"> witnesses</w:t>
      </w:r>
      <w:r w:rsidR="009136C4" w:rsidRPr="004A4D63">
        <w:rPr>
          <w:sz w:val="28"/>
          <w:szCs w:val="28"/>
        </w:rPr>
        <w:t xml:space="preserve"> </w:t>
      </w:r>
      <w:r w:rsidR="00101B2D" w:rsidRPr="004A4D63">
        <w:rPr>
          <w:sz w:val="28"/>
          <w:szCs w:val="28"/>
        </w:rPr>
        <w:t>for purposes of deciding to charge</w:t>
      </w:r>
      <w:r w:rsidR="008D1C02" w:rsidRPr="004A4D63">
        <w:rPr>
          <w:sz w:val="28"/>
          <w:szCs w:val="28"/>
        </w:rPr>
        <w:t xml:space="preserve"> the target</w:t>
      </w:r>
      <w:r w:rsidR="00101B2D" w:rsidRPr="004A4D63">
        <w:rPr>
          <w:sz w:val="28"/>
          <w:szCs w:val="28"/>
        </w:rPr>
        <w:t xml:space="preserve">. </w:t>
      </w:r>
      <w:r w:rsidR="009147C5" w:rsidRPr="004A4D63">
        <w:rPr>
          <w:sz w:val="28"/>
          <w:szCs w:val="28"/>
        </w:rPr>
        <w:t xml:space="preserve">The final decision, on the other hand, </w:t>
      </w:r>
      <w:r w:rsidR="000E59D2" w:rsidRPr="004A4D63">
        <w:rPr>
          <w:sz w:val="28"/>
          <w:szCs w:val="28"/>
        </w:rPr>
        <w:t xml:space="preserve">occurs after a trial-type </w:t>
      </w:r>
      <w:r w:rsidR="00304991" w:rsidRPr="004A4D63">
        <w:rPr>
          <w:sz w:val="28"/>
          <w:szCs w:val="28"/>
        </w:rPr>
        <w:t xml:space="preserve">adversarial </w:t>
      </w:r>
      <w:r w:rsidR="000E59D2" w:rsidRPr="004A4D63">
        <w:rPr>
          <w:sz w:val="28"/>
          <w:szCs w:val="28"/>
        </w:rPr>
        <w:t>hearing</w:t>
      </w:r>
      <w:r w:rsidR="008D1C02" w:rsidRPr="004A4D63">
        <w:rPr>
          <w:sz w:val="28"/>
          <w:szCs w:val="28"/>
        </w:rPr>
        <w:t xml:space="preserve"> </w:t>
      </w:r>
      <w:r w:rsidR="009136C4" w:rsidRPr="004A4D63">
        <w:rPr>
          <w:sz w:val="28"/>
          <w:szCs w:val="28"/>
        </w:rPr>
        <w:t xml:space="preserve">that </w:t>
      </w:r>
      <w:r w:rsidR="008D1C02" w:rsidRPr="004A4D63">
        <w:rPr>
          <w:sz w:val="28"/>
          <w:szCs w:val="28"/>
        </w:rPr>
        <w:t xml:space="preserve">will </w:t>
      </w:r>
      <w:r w:rsidR="009136C4" w:rsidRPr="004A4D63">
        <w:rPr>
          <w:sz w:val="28"/>
          <w:szCs w:val="28"/>
        </w:rPr>
        <w:t xml:space="preserve">test </w:t>
      </w:r>
      <w:r w:rsidR="008D1C02" w:rsidRPr="004A4D63">
        <w:rPr>
          <w:sz w:val="28"/>
          <w:szCs w:val="28"/>
        </w:rPr>
        <w:t xml:space="preserve">the </w:t>
      </w:r>
      <w:r w:rsidR="00101B2D" w:rsidRPr="004A4D63">
        <w:rPr>
          <w:sz w:val="28"/>
          <w:szCs w:val="28"/>
        </w:rPr>
        <w:t>credibility of witnesses</w:t>
      </w:r>
      <w:r w:rsidR="008D1C02" w:rsidRPr="004A4D63">
        <w:rPr>
          <w:sz w:val="28"/>
          <w:szCs w:val="28"/>
        </w:rPr>
        <w:t>.  The ALJ produces a reasoned opinion based on the evidence presented during the hearing.</w:t>
      </w:r>
      <w:r w:rsidR="000E59D2" w:rsidRPr="004A4D63">
        <w:rPr>
          <w:sz w:val="28"/>
          <w:szCs w:val="28"/>
        </w:rPr>
        <w:t xml:space="preserve"> The agency heads are limited </w:t>
      </w:r>
      <w:r w:rsidR="00304991" w:rsidRPr="004A4D63">
        <w:rPr>
          <w:sz w:val="28"/>
          <w:szCs w:val="28"/>
        </w:rPr>
        <w:t xml:space="preserve">by the exclusive record rule </w:t>
      </w:r>
      <w:r w:rsidR="000E59D2" w:rsidRPr="004A4D63">
        <w:rPr>
          <w:sz w:val="28"/>
          <w:szCs w:val="28"/>
        </w:rPr>
        <w:t xml:space="preserve">to considering </w:t>
      </w:r>
      <w:r w:rsidR="00304991" w:rsidRPr="004A4D63">
        <w:rPr>
          <w:sz w:val="28"/>
          <w:szCs w:val="28"/>
        </w:rPr>
        <w:t xml:space="preserve">only </w:t>
      </w:r>
      <w:r w:rsidR="000E59D2" w:rsidRPr="004A4D63">
        <w:rPr>
          <w:sz w:val="28"/>
          <w:szCs w:val="28"/>
        </w:rPr>
        <w:t>the evidence introduced at the hearing.</w:t>
      </w:r>
      <w:r w:rsidR="009147C5" w:rsidRPr="004A4D63">
        <w:rPr>
          <w:sz w:val="28"/>
          <w:szCs w:val="28"/>
        </w:rPr>
        <w:t xml:space="preserve"> Whether th</w:t>
      </w:r>
      <w:r w:rsidR="000E59D2" w:rsidRPr="004A4D63">
        <w:rPr>
          <w:sz w:val="28"/>
          <w:szCs w:val="28"/>
        </w:rPr>
        <w:t xml:space="preserve">e differences in </w:t>
      </w:r>
      <w:r w:rsidR="00304991" w:rsidRPr="004A4D63">
        <w:rPr>
          <w:sz w:val="28"/>
          <w:szCs w:val="28"/>
        </w:rPr>
        <w:t xml:space="preserve">the </w:t>
      </w:r>
      <w:r w:rsidR="000E59D2" w:rsidRPr="004A4D63">
        <w:rPr>
          <w:sz w:val="28"/>
          <w:szCs w:val="28"/>
        </w:rPr>
        <w:t xml:space="preserve">decisionmaking </w:t>
      </w:r>
      <w:r w:rsidR="00304991" w:rsidRPr="004A4D63">
        <w:rPr>
          <w:sz w:val="28"/>
          <w:szCs w:val="28"/>
        </w:rPr>
        <w:t xml:space="preserve">function </w:t>
      </w:r>
      <w:r w:rsidR="000E59D2" w:rsidRPr="004A4D63">
        <w:rPr>
          <w:sz w:val="28"/>
          <w:szCs w:val="28"/>
        </w:rPr>
        <w:t xml:space="preserve">at the two stages </w:t>
      </w:r>
      <w:r w:rsidR="009147C5" w:rsidRPr="004A4D63">
        <w:rPr>
          <w:sz w:val="28"/>
          <w:szCs w:val="28"/>
        </w:rPr>
        <w:t xml:space="preserve">make any practical difference, however, is disputed. In any event, many </w:t>
      </w:r>
      <w:r w:rsidR="00D2032E" w:rsidRPr="004A4D63">
        <w:rPr>
          <w:sz w:val="28"/>
          <w:szCs w:val="28"/>
        </w:rPr>
        <w:t>targets and</w:t>
      </w:r>
      <w:r w:rsidR="009136C4" w:rsidRPr="004A4D63">
        <w:rPr>
          <w:sz w:val="28"/>
          <w:szCs w:val="28"/>
        </w:rPr>
        <w:t xml:space="preserve"> their attorneys </w:t>
      </w:r>
      <w:r w:rsidR="009147C5" w:rsidRPr="004A4D63">
        <w:rPr>
          <w:sz w:val="28"/>
          <w:szCs w:val="28"/>
        </w:rPr>
        <w:t xml:space="preserve">are not </w:t>
      </w:r>
      <w:r w:rsidR="009136C4" w:rsidRPr="004A4D63">
        <w:rPr>
          <w:sz w:val="28"/>
          <w:szCs w:val="28"/>
        </w:rPr>
        <w:t xml:space="preserve">impressed </w:t>
      </w:r>
      <w:r w:rsidR="009147C5" w:rsidRPr="004A4D63">
        <w:rPr>
          <w:sz w:val="28"/>
          <w:szCs w:val="28"/>
        </w:rPr>
        <w:t>by th</w:t>
      </w:r>
      <w:r w:rsidR="009136C4" w:rsidRPr="004A4D63">
        <w:rPr>
          <w:sz w:val="28"/>
          <w:szCs w:val="28"/>
        </w:rPr>
        <w:t xml:space="preserve">e differences between the prosecutorial and adjudicatory stages. They </w:t>
      </w:r>
      <w:r w:rsidR="000E59D2" w:rsidRPr="004A4D63">
        <w:rPr>
          <w:sz w:val="28"/>
          <w:szCs w:val="28"/>
        </w:rPr>
        <w:t xml:space="preserve">continue to complain that their prosecutors </w:t>
      </w:r>
      <w:r w:rsidR="00EE6F1C" w:rsidRPr="004A4D63">
        <w:rPr>
          <w:sz w:val="28"/>
          <w:szCs w:val="28"/>
        </w:rPr>
        <w:t xml:space="preserve">have turned around to act </w:t>
      </w:r>
      <w:r w:rsidR="000E59D2" w:rsidRPr="004A4D63">
        <w:rPr>
          <w:sz w:val="28"/>
          <w:szCs w:val="28"/>
        </w:rPr>
        <w:t>as their judges.</w:t>
      </w:r>
      <w:r w:rsidR="009147C5" w:rsidRPr="004A4D63">
        <w:rPr>
          <w:sz w:val="28"/>
          <w:szCs w:val="28"/>
        </w:rPr>
        <w:t xml:space="preserve"> </w:t>
      </w:r>
    </w:p>
    <w:p w14:paraId="00DE5FC4" w14:textId="16CFE038" w:rsidR="00CD1643" w:rsidRPr="004A4D63" w:rsidRDefault="009147C5" w:rsidP="0065383A">
      <w:pPr>
        <w:spacing w:line="480" w:lineRule="auto"/>
        <w:rPr>
          <w:sz w:val="28"/>
          <w:szCs w:val="28"/>
        </w:rPr>
      </w:pPr>
      <w:r w:rsidRPr="004A4D63">
        <w:rPr>
          <w:sz w:val="28"/>
          <w:szCs w:val="28"/>
        </w:rPr>
        <w:tab/>
      </w:r>
      <w:r w:rsidR="003245D3" w:rsidRPr="004A4D63">
        <w:rPr>
          <w:sz w:val="28"/>
          <w:szCs w:val="28"/>
        </w:rPr>
        <w:t>T</w:t>
      </w:r>
      <w:r w:rsidRPr="004A4D63">
        <w:rPr>
          <w:sz w:val="28"/>
          <w:szCs w:val="28"/>
        </w:rPr>
        <w:t xml:space="preserve">he confirmation bias problem </w:t>
      </w:r>
      <w:r w:rsidR="00C26227" w:rsidRPr="004A4D63">
        <w:rPr>
          <w:sz w:val="28"/>
          <w:szCs w:val="28"/>
        </w:rPr>
        <w:t xml:space="preserve">arises </w:t>
      </w:r>
      <w:r w:rsidR="003245D3" w:rsidRPr="004A4D63">
        <w:rPr>
          <w:sz w:val="28"/>
          <w:szCs w:val="28"/>
        </w:rPr>
        <w:t xml:space="preserve">rather </w:t>
      </w:r>
      <w:r w:rsidR="009136C4" w:rsidRPr="004A4D63">
        <w:rPr>
          <w:sz w:val="28"/>
          <w:szCs w:val="28"/>
        </w:rPr>
        <w:t>infrequently.</w:t>
      </w:r>
      <w:r w:rsidR="008D1C02" w:rsidRPr="004A4D63">
        <w:rPr>
          <w:sz w:val="28"/>
          <w:szCs w:val="28"/>
        </w:rPr>
        <w:t xml:space="preserve">  Most greenlighted cases settle</w:t>
      </w:r>
      <w:r w:rsidR="009136C4" w:rsidRPr="004A4D63">
        <w:rPr>
          <w:sz w:val="28"/>
          <w:szCs w:val="28"/>
        </w:rPr>
        <w:t xml:space="preserve">; </w:t>
      </w:r>
      <w:r w:rsidR="008D1C02" w:rsidRPr="004A4D63">
        <w:rPr>
          <w:sz w:val="28"/>
          <w:szCs w:val="28"/>
        </w:rPr>
        <w:t xml:space="preserve">very few of them make it all the way to a final decision by the agency heads.  And of those cases that traverse the entire process, confirmation bias is </w:t>
      </w:r>
      <w:r w:rsidR="009136C4" w:rsidRPr="004A4D63">
        <w:rPr>
          <w:sz w:val="28"/>
          <w:szCs w:val="28"/>
        </w:rPr>
        <w:t xml:space="preserve">seldom </w:t>
      </w:r>
      <w:r w:rsidR="008D1C02" w:rsidRPr="004A4D63">
        <w:rPr>
          <w:sz w:val="28"/>
          <w:szCs w:val="28"/>
        </w:rPr>
        <w:t>a problem because of the high rate of turnover of agency heads. T</w:t>
      </w:r>
      <w:r w:rsidRPr="004A4D63">
        <w:rPr>
          <w:sz w:val="28"/>
          <w:szCs w:val="28"/>
        </w:rPr>
        <w:t xml:space="preserve">he heads </w:t>
      </w:r>
      <w:r w:rsidRPr="004A4D63">
        <w:rPr>
          <w:sz w:val="28"/>
          <w:szCs w:val="28"/>
        </w:rPr>
        <w:lastRenderedPageBreak/>
        <w:t xml:space="preserve">who are called upon to make the final decision are </w:t>
      </w:r>
      <w:r w:rsidR="009136C4" w:rsidRPr="004A4D63">
        <w:rPr>
          <w:sz w:val="28"/>
          <w:szCs w:val="28"/>
        </w:rPr>
        <w:t xml:space="preserve">usually not </w:t>
      </w:r>
      <w:r w:rsidRPr="004A4D63">
        <w:rPr>
          <w:sz w:val="28"/>
          <w:szCs w:val="28"/>
        </w:rPr>
        <w:t xml:space="preserve">the same people who </w:t>
      </w:r>
      <w:r w:rsidR="00A57EEF" w:rsidRPr="004A4D63">
        <w:rPr>
          <w:sz w:val="28"/>
          <w:szCs w:val="28"/>
        </w:rPr>
        <w:t xml:space="preserve">greenlighted the case </w:t>
      </w:r>
      <w:r w:rsidRPr="004A4D63">
        <w:rPr>
          <w:sz w:val="28"/>
          <w:szCs w:val="28"/>
        </w:rPr>
        <w:t>years before. But those agency heads who remain in their job for more than</w:t>
      </w:r>
      <w:r w:rsidR="008073AB" w:rsidRPr="004A4D63">
        <w:rPr>
          <w:sz w:val="28"/>
          <w:szCs w:val="28"/>
        </w:rPr>
        <w:t xml:space="preserve"> a couple of </w:t>
      </w:r>
      <w:r w:rsidRPr="004A4D63">
        <w:rPr>
          <w:sz w:val="28"/>
          <w:szCs w:val="28"/>
        </w:rPr>
        <w:t xml:space="preserve">years are likely to see cases a second time.  </w:t>
      </w:r>
    </w:p>
    <w:p w14:paraId="70C8E497" w14:textId="6A4CC704" w:rsidR="009147C5" w:rsidRPr="004A4D63" w:rsidRDefault="00CD1643" w:rsidP="0065383A">
      <w:pPr>
        <w:spacing w:line="480" w:lineRule="auto"/>
        <w:rPr>
          <w:sz w:val="28"/>
          <w:szCs w:val="28"/>
        </w:rPr>
      </w:pPr>
      <w:r w:rsidRPr="004A4D63">
        <w:rPr>
          <w:sz w:val="28"/>
          <w:szCs w:val="28"/>
        </w:rPr>
        <w:tab/>
        <w:t>c. Interviewees’ views on confirmation bias</w:t>
      </w:r>
      <w:r w:rsidR="009147C5" w:rsidRPr="004A4D63">
        <w:rPr>
          <w:sz w:val="28"/>
          <w:szCs w:val="28"/>
        </w:rPr>
        <w:tab/>
      </w:r>
    </w:p>
    <w:p w14:paraId="64BB26D0" w14:textId="7E7B675C" w:rsidR="00151398" w:rsidRPr="004A4D63" w:rsidRDefault="009147C5" w:rsidP="0065383A">
      <w:pPr>
        <w:spacing w:line="480" w:lineRule="auto"/>
        <w:rPr>
          <w:sz w:val="28"/>
          <w:szCs w:val="28"/>
        </w:rPr>
      </w:pPr>
      <w:r w:rsidRPr="004A4D63">
        <w:rPr>
          <w:sz w:val="28"/>
          <w:szCs w:val="28"/>
        </w:rPr>
        <w:tab/>
        <w:t>In my interviews, a majority of former agency heads said that they did not believe that they personally were subject to confirmation bias</w:t>
      </w:r>
      <w:r w:rsidR="002421BB" w:rsidRPr="004A4D63">
        <w:rPr>
          <w:sz w:val="28"/>
          <w:szCs w:val="28"/>
        </w:rPr>
        <w:t>, but they were aware of the issue</w:t>
      </w:r>
      <w:r w:rsidRPr="004A4D63">
        <w:rPr>
          <w:sz w:val="28"/>
          <w:szCs w:val="28"/>
        </w:rPr>
        <w:t>.</w:t>
      </w:r>
      <w:r w:rsidRPr="004A4D63">
        <w:rPr>
          <w:rStyle w:val="FootnoteReference"/>
          <w:sz w:val="28"/>
          <w:szCs w:val="28"/>
        </w:rPr>
        <w:footnoteReference w:id="118"/>
      </w:r>
      <w:r w:rsidR="002421BB" w:rsidRPr="004A4D63">
        <w:rPr>
          <w:sz w:val="28"/>
          <w:szCs w:val="28"/>
        </w:rPr>
        <w:t xml:space="preserve"> </w:t>
      </w:r>
      <w:r w:rsidRPr="004A4D63">
        <w:rPr>
          <w:sz w:val="28"/>
          <w:szCs w:val="28"/>
        </w:rPr>
        <w:t xml:space="preserve">Indeed, some </w:t>
      </w:r>
      <w:r w:rsidR="00C010C1" w:rsidRPr="004A4D63">
        <w:rPr>
          <w:sz w:val="28"/>
          <w:szCs w:val="28"/>
        </w:rPr>
        <w:t xml:space="preserve">said </w:t>
      </w:r>
      <w:r w:rsidRPr="004A4D63">
        <w:rPr>
          <w:sz w:val="28"/>
          <w:szCs w:val="28"/>
        </w:rPr>
        <w:t>they barely remember</w:t>
      </w:r>
      <w:r w:rsidR="008073AB" w:rsidRPr="004A4D63">
        <w:rPr>
          <w:sz w:val="28"/>
          <w:szCs w:val="28"/>
        </w:rPr>
        <w:t>ed</w:t>
      </w:r>
      <w:r w:rsidRPr="004A4D63">
        <w:rPr>
          <w:sz w:val="28"/>
          <w:szCs w:val="28"/>
        </w:rPr>
        <w:t xml:space="preserve"> the meeting</w:t>
      </w:r>
      <w:r w:rsidR="009136C4" w:rsidRPr="004A4D63">
        <w:rPr>
          <w:sz w:val="28"/>
          <w:szCs w:val="28"/>
        </w:rPr>
        <w:t>s</w:t>
      </w:r>
      <w:r w:rsidRPr="004A4D63">
        <w:rPr>
          <w:sz w:val="28"/>
          <w:szCs w:val="28"/>
        </w:rPr>
        <w:t xml:space="preserve"> at which they </w:t>
      </w:r>
      <w:r w:rsidR="009136C4" w:rsidRPr="004A4D63">
        <w:rPr>
          <w:sz w:val="28"/>
          <w:szCs w:val="28"/>
        </w:rPr>
        <w:t xml:space="preserve">greenlighted </w:t>
      </w:r>
      <w:r w:rsidRPr="004A4D63">
        <w:rPr>
          <w:sz w:val="28"/>
          <w:szCs w:val="28"/>
        </w:rPr>
        <w:t>the complaint</w:t>
      </w:r>
      <w:r w:rsidR="009136C4" w:rsidRPr="004A4D63">
        <w:rPr>
          <w:sz w:val="28"/>
          <w:szCs w:val="28"/>
        </w:rPr>
        <w:t>s</w:t>
      </w:r>
      <w:r w:rsidRPr="004A4D63">
        <w:rPr>
          <w:sz w:val="28"/>
          <w:szCs w:val="28"/>
        </w:rPr>
        <w:t xml:space="preserve">. </w:t>
      </w:r>
      <w:r w:rsidR="000C66B3" w:rsidRPr="004A4D63">
        <w:rPr>
          <w:sz w:val="28"/>
          <w:szCs w:val="28"/>
        </w:rPr>
        <w:t xml:space="preserve">They pointed to the differences </w:t>
      </w:r>
      <w:r w:rsidR="00101B2D" w:rsidRPr="004A4D63">
        <w:rPr>
          <w:sz w:val="28"/>
          <w:szCs w:val="28"/>
        </w:rPr>
        <w:t xml:space="preserve">between </w:t>
      </w:r>
      <w:r w:rsidR="00AB04CA" w:rsidRPr="004A4D63">
        <w:rPr>
          <w:sz w:val="28"/>
          <w:szCs w:val="28"/>
        </w:rPr>
        <w:t xml:space="preserve">the </w:t>
      </w:r>
      <w:r w:rsidR="00101B2D" w:rsidRPr="004A4D63">
        <w:rPr>
          <w:sz w:val="28"/>
          <w:szCs w:val="28"/>
        </w:rPr>
        <w:t>greenlighting and adjudication</w:t>
      </w:r>
      <w:r w:rsidR="00AB04CA" w:rsidRPr="004A4D63">
        <w:rPr>
          <w:sz w:val="28"/>
          <w:szCs w:val="28"/>
        </w:rPr>
        <w:t xml:space="preserve"> decisions that are discussed above</w:t>
      </w:r>
      <w:r w:rsidR="00101B2D" w:rsidRPr="004A4D63">
        <w:rPr>
          <w:sz w:val="28"/>
          <w:szCs w:val="28"/>
        </w:rPr>
        <w:t xml:space="preserve">, such as the exclusive record and differences </w:t>
      </w:r>
      <w:r w:rsidR="000C66B3" w:rsidRPr="004A4D63">
        <w:rPr>
          <w:sz w:val="28"/>
          <w:szCs w:val="28"/>
        </w:rPr>
        <w:t>in burden of proof</w:t>
      </w:r>
      <w:r w:rsidR="00AB04CA" w:rsidRPr="004A4D63">
        <w:rPr>
          <w:sz w:val="28"/>
          <w:szCs w:val="28"/>
        </w:rPr>
        <w:t>.</w:t>
      </w:r>
      <w:r w:rsidR="000C66B3" w:rsidRPr="004A4D63">
        <w:rPr>
          <w:sz w:val="28"/>
          <w:szCs w:val="28"/>
        </w:rPr>
        <w:t xml:space="preserve"> </w:t>
      </w:r>
      <w:r w:rsidR="00AB04CA" w:rsidRPr="004A4D63">
        <w:rPr>
          <w:sz w:val="28"/>
          <w:szCs w:val="28"/>
        </w:rPr>
        <w:t>They observe that a</w:t>
      </w:r>
      <w:r w:rsidR="000C66B3" w:rsidRPr="004A4D63">
        <w:rPr>
          <w:sz w:val="28"/>
          <w:szCs w:val="28"/>
        </w:rPr>
        <w:t xml:space="preserve"> failure to take account of evidence and argument developed during the ALJ hearing would invite disaster on judicial review</w:t>
      </w:r>
      <w:r w:rsidR="00AB04CA" w:rsidRPr="004A4D63">
        <w:rPr>
          <w:sz w:val="28"/>
          <w:szCs w:val="28"/>
        </w:rPr>
        <w:t>.</w:t>
      </w:r>
      <w:r w:rsidR="002421BB" w:rsidRPr="004A4D63">
        <w:rPr>
          <w:rStyle w:val="FootnoteReference"/>
          <w:sz w:val="28"/>
          <w:szCs w:val="28"/>
        </w:rPr>
        <w:footnoteReference w:id="119"/>
      </w:r>
      <w:r w:rsidR="000C66B3" w:rsidRPr="004A4D63">
        <w:rPr>
          <w:sz w:val="28"/>
          <w:szCs w:val="28"/>
        </w:rPr>
        <w:t xml:space="preserve"> </w:t>
      </w:r>
      <w:r w:rsidRPr="004A4D63">
        <w:rPr>
          <w:sz w:val="28"/>
          <w:szCs w:val="28"/>
        </w:rPr>
        <w:t xml:space="preserve">Needless to say, however, </w:t>
      </w:r>
      <w:r w:rsidR="00AB04CA" w:rsidRPr="004A4D63">
        <w:rPr>
          <w:sz w:val="28"/>
          <w:szCs w:val="28"/>
        </w:rPr>
        <w:t>such interview data is not very reliable.</w:t>
      </w:r>
      <w:r w:rsidRPr="004A4D63">
        <w:rPr>
          <w:sz w:val="28"/>
          <w:szCs w:val="28"/>
        </w:rPr>
        <w:t xml:space="preserve"> </w:t>
      </w:r>
      <w:r w:rsidR="00943BCE" w:rsidRPr="004A4D63">
        <w:rPr>
          <w:sz w:val="28"/>
          <w:szCs w:val="28"/>
        </w:rPr>
        <w:t xml:space="preserve"> Nobody likes to admit they might have been biased.  </w:t>
      </w:r>
      <w:r w:rsidR="00AB04CA" w:rsidRPr="004A4D63">
        <w:rPr>
          <w:sz w:val="28"/>
          <w:szCs w:val="28"/>
        </w:rPr>
        <w:t xml:space="preserve">Moreover, </w:t>
      </w:r>
      <w:r w:rsidRPr="004A4D63">
        <w:rPr>
          <w:sz w:val="28"/>
          <w:szCs w:val="28"/>
        </w:rPr>
        <w:t>some former agency heads stated that they found the situation uncomfortable</w:t>
      </w:r>
      <w:r w:rsidR="00EA72E0" w:rsidRPr="004A4D63">
        <w:rPr>
          <w:sz w:val="28"/>
          <w:szCs w:val="28"/>
        </w:rPr>
        <w:t>,</w:t>
      </w:r>
      <w:r w:rsidR="00C010C1" w:rsidRPr="004A4D63">
        <w:rPr>
          <w:rStyle w:val="FootnoteReference"/>
          <w:sz w:val="28"/>
          <w:szCs w:val="28"/>
        </w:rPr>
        <w:footnoteReference w:id="120"/>
      </w:r>
      <w:r w:rsidRPr="004A4D63">
        <w:rPr>
          <w:sz w:val="28"/>
          <w:szCs w:val="28"/>
        </w:rPr>
        <w:t xml:space="preserve"> and </w:t>
      </w:r>
      <w:r w:rsidR="00C010C1" w:rsidRPr="004A4D63">
        <w:rPr>
          <w:sz w:val="28"/>
          <w:szCs w:val="28"/>
        </w:rPr>
        <w:t xml:space="preserve">others </w:t>
      </w:r>
      <w:r w:rsidRPr="004A4D63">
        <w:rPr>
          <w:sz w:val="28"/>
          <w:szCs w:val="28"/>
        </w:rPr>
        <w:t>acknowledged that it create</w:t>
      </w:r>
      <w:r w:rsidR="00943BCE" w:rsidRPr="004A4D63">
        <w:rPr>
          <w:sz w:val="28"/>
          <w:szCs w:val="28"/>
        </w:rPr>
        <w:t>d</w:t>
      </w:r>
      <w:r w:rsidRPr="004A4D63">
        <w:rPr>
          <w:sz w:val="28"/>
          <w:szCs w:val="28"/>
        </w:rPr>
        <w:t xml:space="preserve"> an appearance of bias even </w:t>
      </w:r>
      <w:r w:rsidR="00C010C1" w:rsidRPr="004A4D63">
        <w:rPr>
          <w:sz w:val="28"/>
          <w:szCs w:val="28"/>
        </w:rPr>
        <w:t>though they believ</w:t>
      </w:r>
      <w:r w:rsidR="00D82553" w:rsidRPr="004A4D63">
        <w:rPr>
          <w:sz w:val="28"/>
          <w:szCs w:val="28"/>
        </w:rPr>
        <w:t>e</w:t>
      </w:r>
      <w:r w:rsidR="00C010C1" w:rsidRPr="004A4D63">
        <w:rPr>
          <w:sz w:val="28"/>
          <w:szCs w:val="28"/>
        </w:rPr>
        <w:t xml:space="preserve">d they were not </w:t>
      </w:r>
      <w:r w:rsidR="00D82553" w:rsidRPr="004A4D63">
        <w:rPr>
          <w:sz w:val="28"/>
          <w:szCs w:val="28"/>
        </w:rPr>
        <w:t xml:space="preserve">personally </w:t>
      </w:r>
      <w:r w:rsidR="00C010C1" w:rsidRPr="004A4D63">
        <w:rPr>
          <w:sz w:val="28"/>
          <w:szCs w:val="28"/>
        </w:rPr>
        <w:t>subject to confirmation bias</w:t>
      </w:r>
      <w:r w:rsidRPr="004A4D63">
        <w:rPr>
          <w:sz w:val="28"/>
          <w:szCs w:val="28"/>
        </w:rPr>
        <w:t>.</w:t>
      </w:r>
      <w:r w:rsidRPr="004A4D63">
        <w:rPr>
          <w:rStyle w:val="FootnoteReference"/>
          <w:sz w:val="28"/>
          <w:szCs w:val="28"/>
        </w:rPr>
        <w:footnoteReference w:id="121"/>
      </w:r>
      <w:r w:rsidRPr="004A4D63">
        <w:rPr>
          <w:sz w:val="28"/>
          <w:szCs w:val="28"/>
        </w:rPr>
        <w:t xml:space="preserve">  </w:t>
      </w:r>
    </w:p>
    <w:p w14:paraId="37E43BDF" w14:textId="7ACCD4F9" w:rsidR="009147C5" w:rsidRPr="004A4D63" w:rsidRDefault="009147C5" w:rsidP="0065383A">
      <w:pPr>
        <w:spacing w:line="480" w:lineRule="auto"/>
        <w:rPr>
          <w:sz w:val="28"/>
          <w:szCs w:val="28"/>
        </w:rPr>
      </w:pPr>
      <w:r w:rsidRPr="004A4D63">
        <w:rPr>
          <w:sz w:val="28"/>
          <w:szCs w:val="28"/>
        </w:rPr>
        <w:lastRenderedPageBreak/>
        <w:tab/>
        <w:t>Some former agency staff members believe that confirmation bias is a serious problem.</w:t>
      </w:r>
      <w:r w:rsidRPr="004A4D63">
        <w:rPr>
          <w:rStyle w:val="FootnoteReference"/>
          <w:sz w:val="28"/>
          <w:szCs w:val="28"/>
        </w:rPr>
        <w:footnoteReference w:id="122"/>
      </w:r>
      <w:r w:rsidRPr="004A4D63">
        <w:rPr>
          <w:sz w:val="28"/>
          <w:szCs w:val="28"/>
        </w:rPr>
        <w:t xml:space="preserve"> Other former staff members who are now in the defense bar </w:t>
      </w:r>
      <w:r w:rsidR="00D82553" w:rsidRPr="004A4D63">
        <w:rPr>
          <w:sz w:val="28"/>
          <w:szCs w:val="28"/>
        </w:rPr>
        <w:t xml:space="preserve">disagree; they </w:t>
      </w:r>
      <w:r w:rsidRPr="004A4D63">
        <w:rPr>
          <w:sz w:val="28"/>
          <w:szCs w:val="28"/>
        </w:rPr>
        <w:t xml:space="preserve">do not </w:t>
      </w:r>
      <w:r w:rsidR="00D82553" w:rsidRPr="004A4D63">
        <w:rPr>
          <w:sz w:val="28"/>
          <w:szCs w:val="28"/>
        </w:rPr>
        <w:t xml:space="preserve">see </w:t>
      </w:r>
      <w:r w:rsidRPr="004A4D63">
        <w:rPr>
          <w:sz w:val="28"/>
          <w:szCs w:val="28"/>
        </w:rPr>
        <w:t xml:space="preserve">confirmation </w:t>
      </w:r>
      <w:r w:rsidR="00D82553" w:rsidRPr="004A4D63">
        <w:rPr>
          <w:sz w:val="28"/>
          <w:szCs w:val="28"/>
        </w:rPr>
        <w:t>as a problem with which they are concerned.</w:t>
      </w:r>
      <w:r w:rsidRPr="004A4D63">
        <w:rPr>
          <w:rStyle w:val="FootnoteReference"/>
          <w:sz w:val="28"/>
          <w:szCs w:val="28"/>
        </w:rPr>
        <w:footnoteReference w:id="123"/>
      </w:r>
      <w:r w:rsidR="00304991" w:rsidRPr="004A4D63">
        <w:rPr>
          <w:sz w:val="28"/>
          <w:szCs w:val="28"/>
        </w:rPr>
        <w:t xml:space="preserve">  </w:t>
      </w:r>
      <w:r w:rsidR="00AB04CA" w:rsidRPr="004A4D63">
        <w:rPr>
          <w:sz w:val="28"/>
          <w:szCs w:val="28"/>
        </w:rPr>
        <w:t xml:space="preserve">Again, data from staff interviews is </w:t>
      </w:r>
      <w:r w:rsidR="00C26227" w:rsidRPr="004A4D63">
        <w:rPr>
          <w:sz w:val="28"/>
          <w:szCs w:val="28"/>
        </w:rPr>
        <w:t xml:space="preserve">mostly meaningless; there is no way a </w:t>
      </w:r>
      <w:r w:rsidR="00304991" w:rsidRPr="004A4D63">
        <w:rPr>
          <w:sz w:val="28"/>
          <w:szCs w:val="28"/>
        </w:rPr>
        <w:t xml:space="preserve">former staff person </w:t>
      </w:r>
      <w:r w:rsidR="00C26227" w:rsidRPr="004A4D63">
        <w:rPr>
          <w:sz w:val="28"/>
          <w:szCs w:val="28"/>
        </w:rPr>
        <w:t xml:space="preserve">could </w:t>
      </w:r>
      <w:r w:rsidR="00304991" w:rsidRPr="004A4D63">
        <w:rPr>
          <w:sz w:val="28"/>
          <w:szCs w:val="28"/>
        </w:rPr>
        <w:t xml:space="preserve">know whether the agency heads </w:t>
      </w:r>
      <w:r w:rsidR="00C26227" w:rsidRPr="004A4D63">
        <w:rPr>
          <w:sz w:val="28"/>
          <w:szCs w:val="28"/>
        </w:rPr>
        <w:t>were biased</w:t>
      </w:r>
      <w:r w:rsidR="00AB04CA" w:rsidRPr="004A4D63">
        <w:rPr>
          <w:sz w:val="28"/>
          <w:szCs w:val="28"/>
        </w:rPr>
        <w:t xml:space="preserve"> in deciding cases that the staff members </w:t>
      </w:r>
      <w:r w:rsidR="00EA72E0" w:rsidRPr="004A4D63">
        <w:rPr>
          <w:sz w:val="28"/>
          <w:szCs w:val="28"/>
        </w:rPr>
        <w:t xml:space="preserve">had been </w:t>
      </w:r>
      <w:r w:rsidR="00AB04CA" w:rsidRPr="004A4D63">
        <w:rPr>
          <w:sz w:val="28"/>
          <w:szCs w:val="28"/>
        </w:rPr>
        <w:t xml:space="preserve">involved in prosecuting. </w:t>
      </w:r>
    </w:p>
    <w:p w14:paraId="2CF6AC76" w14:textId="1F134560" w:rsidR="000C66B3" w:rsidRPr="004A4D63" w:rsidRDefault="009147C5" w:rsidP="0065383A">
      <w:pPr>
        <w:spacing w:line="480" w:lineRule="auto"/>
        <w:rPr>
          <w:sz w:val="28"/>
          <w:szCs w:val="28"/>
        </w:rPr>
      </w:pPr>
      <w:r w:rsidRPr="004A4D63">
        <w:rPr>
          <w:sz w:val="28"/>
          <w:szCs w:val="28"/>
        </w:rPr>
        <w:tab/>
      </w:r>
      <w:r w:rsidR="000C66B3" w:rsidRPr="004A4D63">
        <w:rPr>
          <w:sz w:val="28"/>
          <w:szCs w:val="28"/>
        </w:rPr>
        <w:t xml:space="preserve">d. Empirical research </w:t>
      </w:r>
      <w:r w:rsidR="009C3F3A" w:rsidRPr="004A4D63">
        <w:rPr>
          <w:sz w:val="28"/>
          <w:szCs w:val="28"/>
        </w:rPr>
        <w:t>on confirmation bias</w:t>
      </w:r>
      <w:r w:rsidR="00FA7574" w:rsidRPr="004A4D63">
        <w:rPr>
          <w:sz w:val="28"/>
          <w:szCs w:val="28"/>
        </w:rPr>
        <w:t xml:space="preserve">  </w:t>
      </w:r>
    </w:p>
    <w:p w14:paraId="4FD257EF" w14:textId="41594386" w:rsidR="00AB04CA" w:rsidRPr="004A4D63" w:rsidRDefault="000C66B3" w:rsidP="0065383A">
      <w:pPr>
        <w:spacing w:line="480" w:lineRule="auto"/>
        <w:rPr>
          <w:sz w:val="28"/>
          <w:szCs w:val="28"/>
        </w:rPr>
      </w:pPr>
      <w:r w:rsidRPr="004A4D63">
        <w:rPr>
          <w:sz w:val="28"/>
          <w:szCs w:val="28"/>
        </w:rPr>
        <w:tab/>
      </w:r>
      <w:r w:rsidR="009147C5" w:rsidRPr="004A4D63">
        <w:rPr>
          <w:sz w:val="28"/>
          <w:szCs w:val="28"/>
        </w:rPr>
        <w:t xml:space="preserve">Attempted empirical research on the existence of confirmation bias </w:t>
      </w:r>
      <w:r w:rsidR="00AB04CA" w:rsidRPr="004A4D63">
        <w:rPr>
          <w:sz w:val="28"/>
          <w:szCs w:val="28"/>
        </w:rPr>
        <w:t>based on win rates is</w:t>
      </w:r>
      <w:r w:rsidR="009147C5" w:rsidRPr="004A4D63">
        <w:rPr>
          <w:sz w:val="28"/>
          <w:szCs w:val="28"/>
        </w:rPr>
        <w:t xml:space="preserve"> inconclusive</w:t>
      </w:r>
      <w:r w:rsidR="00AB04CA" w:rsidRPr="004A4D63">
        <w:rPr>
          <w:sz w:val="28"/>
          <w:szCs w:val="28"/>
        </w:rPr>
        <w:t xml:space="preserve">. This </w:t>
      </w:r>
      <w:r w:rsidR="009147C5" w:rsidRPr="004A4D63">
        <w:rPr>
          <w:sz w:val="28"/>
          <w:szCs w:val="28"/>
        </w:rPr>
        <w:t>is hardly surprising given the elusive character of psychological phenomena such as confirmation bias</w:t>
      </w:r>
      <w:r w:rsidR="00AB04CA" w:rsidRPr="004A4D63">
        <w:rPr>
          <w:sz w:val="28"/>
          <w:szCs w:val="28"/>
        </w:rPr>
        <w:t xml:space="preserve">.  Clearly, there are many other </w:t>
      </w:r>
      <w:r w:rsidR="009147C5" w:rsidRPr="004A4D63">
        <w:rPr>
          <w:sz w:val="28"/>
          <w:szCs w:val="28"/>
        </w:rPr>
        <w:t xml:space="preserve">variables </w:t>
      </w:r>
      <w:r w:rsidR="00AB04CA" w:rsidRPr="004A4D63">
        <w:rPr>
          <w:sz w:val="28"/>
          <w:szCs w:val="28"/>
        </w:rPr>
        <w:t xml:space="preserve">that predict win rates, most of them more important than confirmation bias. </w:t>
      </w:r>
    </w:p>
    <w:p w14:paraId="3CC7A70B" w14:textId="188048BE" w:rsidR="009147C5" w:rsidRPr="004A4D63" w:rsidRDefault="00AB04CA" w:rsidP="0065383A">
      <w:pPr>
        <w:spacing w:line="480" w:lineRule="auto"/>
        <w:rPr>
          <w:sz w:val="28"/>
          <w:szCs w:val="28"/>
        </w:rPr>
      </w:pPr>
      <w:r w:rsidRPr="004A4D63">
        <w:rPr>
          <w:sz w:val="28"/>
          <w:szCs w:val="28"/>
        </w:rPr>
        <w:tab/>
      </w:r>
      <w:r w:rsidR="009147C5" w:rsidRPr="004A4D63">
        <w:rPr>
          <w:sz w:val="28"/>
          <w:szCs w:val="28"/>
        </w:rPr>
        <w:t>Most of the empirical work on this issue concerns the FTC. The most comprehensive study of the issue covered all FTC agency-head administrative decisions between</w:t>
      </w:r>
      <w:r w:rsidR="001D253C" w:rsidRPr="004A4D63">
        <w:rPr>
          <w:sz w:val="28"/>
          <w:szCs w:val="28"/>
        </w:rPr>
        <w:t xml:space="preserve"> </w:t>
      </w:r>
      <w:r w:rsidR="009147C5" w:rsidRPr="004A4D63">
        <w:rPr>
          <w:sz w:val="28"/>
          <w:szCs w:val="28"/>
        </w:rPr>
        <w:t>1977 and 2016 (a total of 145 cases).</w:t>
      </w:r>
      <w:r w:rsidR="009147C5" w:rsidRPr="004A4D63">
        <w:rPr>
          <w:rStyle w:val="FootnoteReference"/>
          <w:sz w:val="28"/>
          <w:szCs w:val="28"/>
        </w:rPr>
        <w:footnoteReference w:id="124"/>
      </w:r>
      <w:r w:rsidR="009147C5" w:rsidRPr="004A4D63">
        <w:rPr>
          <w:sz w:val="28"/>
          <w:szCs w:val="28"/>
        </w:rPr>
        <w:t xml:space="preserve"> It suggests that </w:t>
      </w:r>
      <w:r w:rsidR="009147C5" w:rsidRPr="004A4D63">
        <w:rPr>
          <w:sz w:val="28"/>
          <w:szCs w:val="28"/>
        </w:rPr>
        <w:lastRenderedPageBreak/>
        <w:t>confirmation bias is not a major problem if it exists at all. When the same Commission majority both authorized the complaint and decided the case, the FTC dismissed 33% of the cases.  When a different majority voted out the complaint and made the final decision, the FTC dismissed only 27% of the cases.</w:t>
      </w:r>
      <w:r w:rsidR="009147C5" w:rsidRPr="004A4D63">
        <w:rPr>
          <w:rStyle w:val="FootnoteReference"/>
          <w:sz w:val="28"/>
          <w:szCs w:val="28"/>
        </w:rPr>
        <w:footnoteReference w:id="125"/>
      </w:r>
    </w:p>
    <w:p w14:paraId="1E4F2AB1" w14:textId="77777777" w:rsidR="00EA72E0" w:rsidRPr="004A4D63" w:rsidRDefault="009147C5" w:rsidP="0065383A">
      <w:pPr>
        <w:spacing w:line="480" w:lineRule="auto"/>
        <w:rPr>
          <w:sz w:val="28"/>
          <w:szCs w:val="28"/>
        </w:rPr>
      </w:pPr>
      <w:r w:rsidRPr="004A4D63">
        <w:rPr>
          <w:sz w:val="28"/>
          <w:szCs w:val="28"/>
        </w:rPr>
        <w:tab/>
        <w:t xml:space="preserve">Several other studies of FTC decisionmaking point in the opposite direction, but </w:t>
      </w:r>
      <w:r w:rsidR="00EA72E0" w:rsidRPr="004A4D63">
        <w:rPr>
          <w:sz w:val="28"/>
          <w:szCs w:val="28"/>
        </w:rPr>
        <w:t xml:space="preserve">they </w:t>
      </w:r>
      <w:r w:rsidRPr="004A4D63">
        <w:rPr>
          <w:sz w:val="28"/>
          <w:szCs w:val="28"/>
        </w:rPr>
        <w:t xml:space="preserve">are based on a shorter time period and consider only limited portions of the FTC’s work. One study of FTC merger decisions between 1950 and </w:t>
      </w:r>
      <w:r w:rsidR="00AB04CA" w:rsidRPr="004A4D63">
        <w:rPr>
          <w:sz w:val="28"/>
          <w:szCs w:val="28"/>
        </w:rPr>
        <w:t xml:space="preserve">2011 </w:t>
      </w:r>
      <w:r w:rsidRPr="004A4D63">
        <w:rPr>
          <w:sz w:val="28"/>
          <w:szCs w:val="28"/>
        </w:rPr>
        <w:t>indicated that confirmation bias does exist.  When three, four, or five commissioners who made the final decision also participated in the charging decision, the FTC enjoyed a greater win rate than in situations where zero, one, or  two commissioners participated in both decisions.</w:t>
      </w:r>
      <w:r w:rsidR="00C26227" w:rsidRPr="004A4D63">
        <w:rPr>
          <w:rStyle w:val="FootnoteReference"/>
          <w:sz w:val="28"/>
          <w:szCs w:val="28"/>
        </w:rPr>
        <w:footnoteReference w:id="126"/>
      </w:r>
      <w:r w:rsidR="00C26227" w:rsidRPr="004A4D63">
        <w:rPr>
          <w:sz w:val="28"/>
          <w:szCs w:val="28"/>
        </w:rPr>
        <w:t xml:space="preserve"> </w:t>
      </w:r>
      <w:r w:rsidRPr="004A4D63">
        <w:rPr>
          <w:sz w:val="28"/>
          <w:szCs w:val="28"/>
        </w:rPr>
        <w:t xml:space="preserve"> </w:t>
      </w:r>
    </w:p>
    <w:p w14:paraId="4F88D7B4" w14:textId="642FCFF7" w:rsidR="009147C5" w:rsidRPr="004A4D63" w:rsidRDefault="009147C5" w:rsidP="001E3C97">
      <w:pPr>
        <w:spacing w:line="480" w:lineRule="auto"/>
        <w:ind w:firstLine="720"/>
        <w:rPr>
          <w:sz w:val="28"/>
          <w:szCs w:val="28"/>
        </w:rPr>
      </w:pPr>
      <w:r w:rsidRPr="004A4D63">
        <w:rPr>
          <w:sz w:val="28"/>
          <w:szCs w:val="28"/>
        </w:rPr>
        <w:t>Other studies simply infer bias from the fact that the agency wins most of the cases decided at the Commission level.</w:t>
      </w:r>
      <w:r w:rsidR="00C26227" w:rsidRPr="004A4D63">
        <w:rPr>
          <w:rStyle w:val="FootnoteReference"/>
          <w:sz w:val="28"/>
          <w:szCs w:val="28"/>
        </w:rPr>
        <w:footnoteReference w:id="127"/>
      </w:r>
      <w:r w:rsidRPr="004A4D63">
        <w:rPr>
          <w:sz w:val="28"/>
          <w:szCs w:val="28"/>
        </w:rPr>
        <w:t xml:space="preserve"> However this analytical method is </w:t>
      </w:r>
      <w:r w:rsidRPr="004A4D63">
        <w:rPr>
          <w:sz w:val="28"/>
          <w:szCs w:val="28"/>
        </w:rPr>
        <w:lastRenderedPageBreak/>
        <w:t xml:space="preserve">suspect given that the FTC is a law-enforcement agency with discretion to select only strong cases to prosecute and where the vast majority of the cases settle.  </w:t>
      </w:r>
      <w:r w:rsidR="001D253C" w:rsidRPr="004A4D63">
        <w:rPr>
          <w:sz w:val="28"/>
          <w:szCs w:val="28"/>
        </w:rPr>
        <w:t>Agency decisionmakers are naturally subject to institutional bias; i</w:t>
      </w:r>
      <w:r w:rsidR="001303C6" w:rsidRPr="004A4D63">
        <w:rPr>
          <w:sz w:val="28"/>
          <w:szCs w:val="28"/>
        </w:rPr>
        <w:t>t is not surprising that the</w:t>
      </w:r>
      <w:r w:rsidR="001D253C" w:rsidRPr="004A4D63">
        <w:rPr>
          <w:sz w:val="28"/>
          <w:szCs w:val="28"/>
        </w:rPr>
        <w:t>y</w:t>
      </w:r>
      <w:r w:rsidR="001303C6" w:rsidRPr="004A4D63">
        <w:rPr>
          <w:sz w:val="28"/>
          <w:szCs w:val="28"/>
        </w:rPr>
        <w:t xml:space="preserve"> would uphold most or all of the ALJ decisions that come to them, whether or not confirmation bias </w:t>
      </w:r>
      <w:r w:rsidR="001D253C" w:rsidRPr="004A4D63">
        <w:rPr>
          <w:sz w:val="28"/>
          <w:szCs w:val="28"/>
        </w:rPr>
        <w:t xml:space="preserve">also </w:t>
      </w:r>
      <w:r w:rsidR="001303C6" w:rsidRPr="004A4D63">
        <w:rPr>
          <w:sz w:val="28"/>
          <w:szCs w:val="28"/>
        </w:rPr>
        <w:t>exists.</w:t>
      </w:r>
      <w:r w:rsidR="001D253C" w:rsidRPr="004A4D63">
        <w:rPr>
          <w:rStyle w:val="FootnoteReference"/>
          <w:sz w:val="28"/>
          <w:szCs w:val="28"/>
        </w:rPr>
        <w:footnoteReference w:id="128"/>
      </w:r>
      <w:r w:rsidR="001303C6" w:rsidRPr="004A4D63">
        <w:rPr>
          <w:sz w:val="28"/>
          <w:szCs w:val="28"/>
        </w:rPr>
        <w:t xml:space="preserve"> </w:t>
      </w:r>
    </w:p>
    <w:p w14:paraId="47807746" w14:textId="0C736B6E" w:rsidR="009147C5" w:rsidRPr="004A4D63" w:rsidRDefault="009147C5" w:rsidP="0065383A">
      <w:pPr>
        <w:spacing w:line="480" w:lineRule="auto"/>
        <w:outlineLvl w:val="0"/>
        <w:rPr>
          <w:sz w:val="28"/>
          <w:szCs w:val="28"/>
        </w:rPr>
      </w:pPr>
      <w:r w:rsidRPr="004A4D63">
        <w:rPr>
          <w:sz w:val="28"/>
          <w:szCs w:val="28"/>
        </w:rPr>
        <w:tab/>
        <w:t xml:space="preserve">2. Efficiency  </w:t>
      </w:r>
    </w:p>
    <w:p w14:paraId="1C52017A" w14:textId="194A15F8" w:rsidR="00F15EC3" w:rsidRPr="004A4D63" w:rsidRDefault="009147C5" w:rsidP="0065383A">
      <w:pPr>
        <w:spacing w:line="480" w:lineRule="auto"/>
        <w:rPr>
          <w:sz w:val="28"/>
          <w:szCs w:val="28"/>
        </w:rPr>
      </w:pPr>
      <w:r w:rsidRPr="004A4D63">
        <w:rPr>
          <w:sz w:val="28"/>
          <w:szCs w:val="28"/>
        </w:rPr>
        <w:tab/>
        <w:t xml:space="preserve">A second disadvantage of </w:t>
      </w:r>
      <w:r w:rsidR="00F15EC3" w:rsidRPr="004A4D63">
        <w:rPr>
          <w:sz w:val="28"/>
          <w:szCs w:val="28"/>
        </w:rPr>
        <w:t xml:space="preserve">the greenlighting system </w:t>
      </w:r>
      <w:r w:rsidRPr="004A4D63">
        <w:rPr>
          <w:sz w:val="28"/>
          <w:szCs w:val="28"/>
        </w:rPr>
        <w:t xml:space="preserve">is based on efficiency concerns. The </w:t>
      </w:r>
      <w:r w:rsidR="00F15EC3" w:rsidRPr="004A4D63">
        <w:rPr>
          <w:sz w:val="28"/>
          <w:szCs w:val="28"/>
        </w:rPr>
        <w:t xml:space="preserve">greenlighting </w:t>
      </w:r>
      <w:r w:rsidRPr="004A4D63">
        <w:rPr>
          <w:sz w:val="28"/>
          <w:szCs w:val="28"/>
        </w:rPr>
        <w:t xml:space="preserve">process can be quite time consuming for agency heads, especially if they are conscientious about reading the </w:t>
      </w:r>
      <w:r w:rsidR="00642385" w:rsidRPr="004A4D63">
        <w:rPr>
          <w:sz w:val="28"/>
          <w:szCs w:val="28"/>
        </w:rPr>
        <w:t xml:space="preserve">complete </w:t>
      </w:r>
      <w:r w:rsidRPr="004A4D63">
        <w:rPr>
          <w:sz w:val="28"/>
          <w:szCs w:val="28"/>
        </w:rPr>
        <w:t xml:space="preserve">files. </w:t>
      </w:r>
      <w:r w:rsidR="00F15EC3" w:rsidRPr="004A4D63">
        <w:rPr>
          <w:sz w:val="28"/>
          <w:szCs w:val="28"/>
        </w:rPr>
        <w:t xml:space="preserve">Another efficiency concern is that the need for greenlighting at the agency head level can </w:t>
      </w:r>
      <w:r w:rsidR="001D253C" w:rsidRPr="004A4D63">
        <w:rPr>
          <w:sz w:val="28"/>
          <w:szCs w:val="28"/>
        </w:rPr>
        <w:t xml:space="preserve">prolong settlement negotiations or increase the time between the prosecutorial decision to charge and the commencement of an agency hearing. </w:t>
      </w:r>
      <w:r w:rsidR="00D2032E" w:rsidRPr="004A4D63">
        <w:rPr>
          <w:sz w:val="28"/>
          <w:szCs w:val="28"/>
        </w:rPr>
        <w:t>Thus,</w:t>
      </w:r>
      <w:r w:rsidR="001D253C" w:rsidRPr="004A4D63">
        <w:rPr>
          <w:sz w:val="28"/>
          <w:szCs w:val="28"/>
        </w:rPr>
        <w:t xml:space="preserve"> greenlighting may contribute to the problem of administrative delay. </w:t>
      </w:r>
    </w:p>
    <w:p w14:paraId="55D854BB" w14:textId="1D6EF7EB" w:rsidR="00642385" w:rsidRPr="004A4D63" w:rsidRDefault="00F15EC3" w:rsidP="0065383A">
      <w:pPr>
        <w:spacing w:line="480" w:lineRule="auto"/>
        <w:rPr>
          <w:sz w:val="28"/>
          <w:szCs w:val="28"/>
        </w:rPr>
      </w:pPr>
      <w:r w:rsidRPr="004A4D63">
        <w:rPr>
          <w:sz w:val="28"/>
          <w:szCs w:val="28"/>
        </w:rPr>
        <w:tab/>
      </w:r>
      <w:r w:rsidR="003230D1" w:rsidRPr="004A4D63">
        <w:rPr>
          <w:sz w:val="28"/>
          <w:szCs w:val="28"/>
        </w:rPr>
        <w:t xml:space="preserve">At the </w:t>
      </w:r>
      <w:r w:rsidR="009147C5" w:rsidRPr="004A4D63">
        <w:rPr>
          <w:sz w:val="28"/>
          <w:szCs w:val="28"/>
        </w:rPr>
        <w:t>SEC</w:t>
      </w:r>
      <w:r w:rsidR="003230D1" w:rsidRPr="004A4D63">
        <w:rPr>
          <w:sz w:val="28"/>
          <w:szCs w:val="28"/>
        </w:rPr>
        <w:t>, for example,</w:t>
      </w:r>
      <w:r w:rsidR="009147C5" w:rsidRPr="004A4D63">
        <w:rPr>
          <w:sz w:val="28"/>
          <w:szCs w:val="28"/>
        </w:rPr>
        <w:t xml:space="preserve"> action memos </w:t>
      </w:r>
      <w:r w:rsidR="00905222" w:rsidRPr="004A4D63">
        <w:rPr>
          <w:sz w:val="28"/>
          <w:szCs w:val="28"/>
        </w:rPr>
        <w:t xml:space="preserve">may </w:t>
      </w:r>
      <w:r w:rsidR="009147C5" w:rsidRPr="004A4D63">
        <w:rPr>
          <w:sz w:val="28"/>
          <w:szCs w:val="28"/>
        </w:rPr>
        <w:t>run 50-75 pages in length and perhaps five to ten of them are circulated each week. In addition, the Wells responses or white papers are often lengthy and some commissioners read them in full.</w:t>
      </w:r>
      <w:r w:rsidR="009147C5" w:rsidRPr="004A4D63">
        <w:rPr>
          <w:rStyle w:val="FootnoteReference"/>
          <w:sz w:val="28"/>
          <w:szCs w:val="28"/>
        </w:rPr>
        <w:footnoteReference w:id="129"/>
      </w:r>
      <w:r w:rsidR="003230D1" w:rsidRPr="004A4D63">
        <w:rPr>
          <w:sz w:val="28"/>
          <w:szCs w:val="28"/>
        </w:rPr>
        <w:t xml:space="preserve">  Greenlighting is con</w:t>
      </w:r>
      <w:r w:rsidR="003C2EF1" w:rsidRPr="004A4D63">
        <w:rPr>
          <w:sz w:val="28"/>
          <w:szCs w:val="28"/>
        </w:rPr>
        <w:t xml:space="preserve">sidered </w:t>
      </w:r>
      <w:r w:rsidR="003230D1" w:rsidRPr="004A4D63">
        <w:rPr>
          <w:sz w:val="28"/>
          <w:szCs w:val="28"/>
        </w:rPr>
        <w:t>at formal SEC meetings</w:t>
      </w:r>
      <w:r w:rsidR="00DA0AE8" w:rsidRPr="004A4D63">
        <w:rPr>
          <w:sz w:val="28"/>
          <w:szCs w:val="28"/>
        </w:rPr>
        <w:t xml:space="preserve"> which are sometimes </w:t>
      </w:r>
      <w:r w:rsidR="00DA0AE8" w:rsidRPr="004A4D63">
        <w:rPr>
          <w:sz w:val="28"/>
          <w:szCs w:val="28"/>
        </w:rPr>
        <w:lastRenderedPageBreak/>
        <w:t>contentious. Thus</w:t>
      </w:r>
      <w:r w:rsidRPr="004A4D63">
        <w:rPr>
          <w:sz w:val="28"/>
          <w:szCs w:val="28"/>
        </w:rPr>
        <w:t>,</w:t>
      </w:r>
      <w:r w:rsidR="00DA0AE8" w:rsidRPr="004A4D63">
        <w:rPr>
          <w:sz w:val="28"/>
          <w:szCs w:val="28"/>
        </w:rPr>
        <w:t xml:space="preserve"> a substantial portion of the time of SEC commissioners is devoted to enforcement matters.</w:t>
      </w:r>
      <w:r w:rsidR="004A6EE8" w:rsidRPr="004A4D63">
        <w:rPr>
          <w:sz w:val="28"/>
          <w:szCs w:val="28"/>
        </w:rPr>
        <w:t xml:space="preserve"> </w:t>
      </w:r>
      <w:r w:rsidR="00DA0AE8" w:rsidRPr="004A4D63">
        <w:rPr>
          <w:sz w:val="28"/>
          <w:szCs w:val="28"/>
        </w:rPr>
        <w:t xml:space="preserve">  </w:t>
      </w:r>
      <w:r w:rsidR="001222D4" w:rsidRPr="004A4D63">
        <w:rPr>
          <w:sz w:val="28"/>
          <w:szCs w:val="28"/>
        </w:rPr>
        <w:t xml:space="preserve"> </w:t>
      </w:r>
    </w:p>
    <w:p w14:paraId="2DA47935" w14:textId="44A0F1D4" w:rsidR="009147C5" w:rsidRPr="004A4D63" w:rsidRDefault="00642385" w:rsidP="0065383A">
      <w:pPr>
        <w:spacing w:line="480" w:lineRule="auto"/>
        <w:rPr>
          <w:sz w:val="28"/>
          <w:szCs w:val="28"/>
        </w:rPr>
      </w:pPr>
      <w:r w:rsidRPr="004A4D63">
        <w:rPr>
          <w:sz w:val="28"/>
          <w:szCs w:val="28"/>
        </w:rPr>
        <w:tab/>
      </w:r>
      <w:r w:rsidR="00F15EC3" w:rsidRPr="004A4D63">
        <w:rPr>
          <w:sz w:val="28"/>
          <w:szCs w:val="28"/>
        </w:rPr>
        <w:t>Agencies that handle the greenlighting function through notational voting spend less time in meetings but the members must still read the lengthy files</w:t>
      </w:r>
      <w:r w:rsidR="00BF1D86">
        <w:rPr>
          <w:sz w:val="28"/>
          <w:szCs w:val="28"/>
        </w:rPr>
        <w:t xml:space="preserve"> (although no doubt many of them have time only to read the executive summaries)</w:t>
      </w:r>
      <w:r w:rsidR="00F15EC3" w:rsidRPr="004A4D63">
        <w:rPr>
          <w:sz w:val="28"/>
          <w:szCs w:val="28"/>
        </w:rPr>
        <w:t xml:space="preserve">. </w:t>
      </w:r>
      <w:r w:rsidR="003230D1" w:rsidRPr="004A4D63">
        <w:rPr>
          <w:sz w:val="28"/>
          <w:szCs w:val="28"/>
        </w:rPr>
        <w:t xml:space="preserve">At FERC, </w:t>
      </w:r>
      <w:r w:rsidR="00F15EC3" w:rsidRPr="004A4D63">
        <w:rPr>
          <w:sz w:val="28"/>
          <w:szCs w:val="28"/>
        </w:rPr>
        <w:t xml:space="preserve">the </w:t>
      </w:r>
      <w:r w:rsidR="009F4DD0" w:rsidRPr="004A4D63">
        <w:rPr>
          <w:sz w:val="28"/>
          <w:szCs w:val="28"/>
        </w:rPr>
        <w:t>agency heads make greenlighting decisions in several stages</w:t>
      </w:r>
      <w:r w:rsidR="001D253C" w:rsidRPr="004A4D63">
        <w:rPr>
          <w:sz w:val="28"/>
          <w:szCs w:val="28"/>
        </w:rPr>
        <w:t>.</w:t>
      </w:r>
      <w:r w:rsidR="009F4DD0" w:rsidRPr="004A4D63">
        <w:rPr>
          <w:sz w:val="28"/>
          <w:szCs w:val="28"/>
        </w:rPr>
        <w:t xml:space="preserve"> Each stage </w:t>
      </w:r>
      <w:r w:rsidR="00F15EC3" w:rsidRPr="004A4D63">
        <w:rPr>
          <w:sz w:val="28"/>
          <w:szCs w:val="28"/>
        </w:rPr>
        <w:t>generate</w:t>
      </w:r>
      <w:r w:rsidR="009F4DD0" w:rsidRPr="004A4D63">
        <w:rPr>
          <w:sz w:val="28"/>
          <w:szCs w:val="28"/>
        </w:rPr>
        <w:t>s</w:t>
      </w:r>
      <w:r w:rsidR="00F15EC3" w:rsidRPr="004A4D63">
        <w:rPr>
          <w:sz w:val="28"/>
          <w:szCs w:val="28"/>
        </w:rPr>
        <w:t xml:space="preserve"> </w:t>
      </w:r>
      <w:r w:rsidR="003230D1" w:rsidRPr="004A4D63">
        <w:rPr>
          <w:sz w:val="28"/>
          <w:szCs w:val="28"/>
        </w:rPr>
        <w:t xml:space="preserve">lengthy memos, but voting is generally done through </w:t>
      </w:r>
      <w:r w:rsidR="003C2EF1" w:rsidRPr="004A4D63">
        <w:rPr>
          <w:sz w:val="28"/>
          <w:szCs w:val="28"/>
        </w:rPr>
        <w:t xml:space="preserve">a </w:t>
      </w:r>
      <w:r w:rsidR="003230D1" w:rsidRPr="004A4D63">
        <w:rPr>
          <w:sz w:val="28"/>
          <w:szCs w:val="28"/>
        </w:rPr>
        <w:t xml:space="preserve">notational </w:t>
      </w:r>
      <w:r w:rsidR="003C2EF1" w:rsidRPr="004A4D63">
        <w:rPr>
          <w:sz w:val="28"/>
          <w:szCs w:val="28"/>
        </w:rPr>
        <w:t xml:space="preserve">process rather than </w:t>
      </w:r>
      <w:r w:rsidR="009F4DD0" w:rsidRPr="004A4D63">
        <w:rPr>
          <w:sz w:val="28"/>
          <w:szCs w:val="28"/>
        </w:rPr>
        <w:t xml:space="preserve">in-person </w:t>
      </w:r>
      <w:r w:rsidR="003C2EF1" w:rsidRPr="004A4D63">
        <w:rPr>
          <w:sz w:val="28"/>
          <w:szCs w:val="28"/>
        </w:rPr>
        <w:t>meeting</w:t>
      </w:r>
      <w:r w:rsidR="009F4DD0" w:rsidRPr="004A4D63">
        <w:rPr>
          <w:sz w:val="28"/>
          <w:szCs w:val="28"/>
        </w:rPr>
        <w:t>s</w:t>
      </w:r>
      <w:r w:rsidR="003C2EF1" w:rsidRPr="004A4D63">
        <w:rPr>
          <w:sz w:val="28"/>
          <w:szCs w:val="28"/>
        </w:rPr>
        <w:t xml:space="preserve">.  </w:t>
      </w:r>
      <w:r w:rsidRPr="004A4D63">
        <w:rPr>
          <w:sz w:val="28"/>
          <w:szCs w:val="28"/>
        </w:rPr>
        <w:t xml:space="preserve">The same is true at FCC where enforcement matters are seldom taken up during commission meetings. </w:t>
      </w:r>
      <w:r w:rsidR="00F15EC3" w:rsidRPr="004A4D63">
        <w:rPr>
          <w:sz w:val="28"/>
          <w:szCs w:val="28"/>
        </w:rPr>
        <w:t xml:space="preserve"> </w:t>
      </w:r>
    </w:p>
    <w:p w14:paraId="616EAE6B" w14:textId="4A397966" w:rsidR="00EA72E0" w:rsidRPr="004A4D63" w:rsidRDefault="009147C5" w:rsidP="0065383A">
      <w:pPr>
        <w:spacing w:line="480" w:lineRule="auto"/>
        <w:rPr>
          <w:sz w:val="28"/>
          <w:szCs w:val="28"/>
        </w:rPr>
      </w:pPr>
      <w:r w:rsidRPr="004A4D63">
        <w:rPr>
          <w:sz w:val="28"/>
          <w:szCs w:val="28"/>
        </w:rPr>
        <w:tab/>
      </w:r>
      <w:r w:rsidR="00F15EC3" w:rsidRPr="004A4D63">
        <w:rPr>
          <w:sz w:val="28"/>
          <w:szCs w:val="28"/>
        </w:rPr>
        <w:t>SEC i</w:t>
      </w:r>
      <w:r w:rsidRPr="004A4D63">
        <w:rPr>
          <w:sz w:val="28"/>
          <w:szCs w:val="28"/>
        </w:rPr>
        <w:t xml:space="preserve">nterviewees estimated that perhaps 40% or more of the time of </w:t>
      </w:r>
      <w:r w:rsidR="003230D1" w:rsidRPr="004A4D63">
        <w:rPr>
          <w:sz w:val="28"/>
          <w:szCs w:val="28"/>
        </w:rPr>
        <w:t xml:space="preserve">agency heads </w:t>
      </w:r>
      <w:r w:rsidRPr="004A4D63">
        <w:rPr>
          <w:sz w:val="28"/>
          <w:szCs w:val="28"/>
        </w:rPr>
        <w:t>is taken up in enforcement matters, including but not limited to charging decisions and settlement approvals.</w:t>
      </w:r>
      <w:r w:rsidRPr="004A4D63">
        <w:rPr>
          <w:rStyle w:val="FootnoteReference"/>
          <w:sz w:val="28"/>
          <w:szCs w:val="28"/>
        </w:rPr>
        <w:footnoteReference w:id="130"/>
      </w:r>
      <w:r w:rsidRPr="004A4D63">
        <w:rPr>
          <w:sz w:val="28"/>
          <w:szCs w:val="28"/>
        </w:rPr>
        <w:t xml:space="preserve"> </w:t>
      </w:r>
      <w:r w:rsidR="003230D1" w:rsidRPr="004A4D63">
        <w:rPr>
          <w:sz w:val="28"/>
          <w:szCs w:val="28"/>
        </w:rPr>
        <w:t>At FERC, estimates were much lower, perhaps in the 10% range because relatively few enforcement cases make it that far.</w:t>
      </w:r>
      <w:r w:rsidR="003C2EF1" w:rsidRPr="004A4D63">
        <w:rPr>
          <w:rStyle w:val="FootnoteReference"/>
          <w:sz w:val="28"/>
          <w:szCs w:val="28"/>
        </w:rPr>
        <w:footnoteReference w:id="131"/>
      </w:r>
      <w:r w:rsidR="003230D1" w:rsidRPr="004A4D63">
        <w:rPr>
          <w:sz w:val="28"/>
          <w:szCs w:val="28"/>
        </w:rPr>
        <w:t xml:space="preserve">  </w:t>
      </w:r>
      <w:r w:rsidR="009F4DD0" w:rsidRPr="004A4D63">
        <w:rPr>
          <w:sz w:val="28"/>
          <w:szCs w:val="28"/>
        </w:rPr>
        <w:t xml:space="preserve">One former FTC commissioner estimated spending half of work time on enforcement issues, but thought </w:t>
      </w:r>
      <w:r w:rsidR="001D253C" w:rsidRPr="004A4D63">
        <w:rPr>
          <w:sz w:val="28"/>
          <w:szCs w:val="28"/>
        </w:rPr>
        <w:t>the</w:t>
      </w:r>
      <w:r w:rsidR="00940036" w:rsidRPr="004A4D63">
        <w:rPr>
          <w:sz w:val="28"/>
          <w:szCs w:val="28"/>
        </w:rPr>
        <w:t xml:space="preserve"> </w:t>
      </w:r>
      <w:r w:rsidR="001D253C" w:rsidRPr="004A4D63">
        <w:rPr>
          <w:sz w:val="28"/>
          <w:szCs w:val="28"/>
        </w:rPr>
        <w:t>time investment was well worth it.</w:t>
      </w:r>
      <w:r w:rsidR="009F4DD0" w:rsidRPr="004A4D63">
        <w:rPr>
          <w:rStyle w:val="FootnoteReference"/>
          <w:sz w:val="28"/>
          <w:szCs w:val="28"/>
        </w:rPr>
        <w:footnoteReference w:id="132"/>
      </w:r>
      <w:r w:rsidR="009F4DD0" w:rsidRPr="004A4D63">
        <w:rPr>
          <w:sz w:val="28"/>
          <w:szCs w:val="28"/>
        </w:rPr>
        <w:t xml:space="preserve"> </w:t>
      </w:r>
    </w:p>
    <w:p w14:paraId="2F0A327D" w14:textId="6DBD3A1C" w:rsidR="009147C5" w:rsidRPr="004A4D63" w:rsidRDefault="00940036" w:rsidP="0065383A">
      <w:pPr>
        <w:spacing w:line="480" w:lineRule="auto"/>
        <w:rPr>
          <w:sz w:val="28"/>
          <w:szCs w:val="28"/>
        </w:rPr>
      </w:pPr>
      <w:r w:rsidRPr="004A4D63">
        <w:rPr>
          <w:sz w:val="28"/>
          <w:szCs w:val="28"/>
        </w:rPr>
        <w:tab/>
      </w:r>
      <w:r w:rsidR="009147C5" w:rsidRPr="004A4D63">
        <w:rPr>
          <w:sz w:val="28"/>
          <w:szCs w:val="28"/>
        </w:rPr>
        <w:t>Obviously, agency heads pay a substantial opportunity cost in order to achieve this level of involvement in enforcement issues.</w:t>
      </w:r>
      <w:r w:rsidR="009147C5" w:rsidRPr="004A4D63">
        <w:rPr>
          <w:rStyle w:val="FootnoteReference"/>
          <w:sz w:val="28"/>
          <w:szCs w:val="28"/>
        </w:rPr>
        <w:footnoteReference w:id="133"/>
      </w:r>
      <w:r w:rsidR="009147C5" w:rsidRPr="004A4D63">
        <w:rPr>
          <w:sz w:val="28"/>
          <w:szCs w:val="28"/>
        </w:rPr>
        <w:t xml:space="preserve"> This is time the heads </w:t>
      </w:r>
      <w:r w:rsidR="009147C5" w:rsidRPr="004A4D63">
        <w:rPr>
          <w:sz w:val="28"/>
          <w:szCs w:val="28"/>
        </w:rPr>
        <w:lastRenderedPageBreak/>
        <w:t xml:space="preserve">could devote to other important responsibilities such as rulemaking, </w:t>
      </w:r>
      <w:r w:rsidR="00975136" w:rsidRPr="004A4D63">
        <w:rPr>
          <w:sz w:val="28"/>
          <w:szCs w:val="28"/>
        </w:rPr>
        <w:t xml:space="preserve">ratemaking, </w:t>
      </w:r>
      <w:r w:rsidR="009147C5" w:rsidRPr="004A4D63">
        <w:rPr>
          <w:sz w:val="28"/>
          <w:szCs w:val="28"/>
        </w:rPr>
        <w:t>liaisons with other agencies, study of the problems faced by the industry, development of policy, or consideration of adjudicatory records</w:t>
      </w:r>
      <w:r w:rsidR="00975136" w:rsidRPr="004A4D63">
        <w:rPr>
          <w:sz w:val="28"/>
          <w:szCs w:val="28"/>
        </w:rPr>
        <w:t xml:space="preserve"> at the time of final decision.</w:t>
      </w:r>
      <w:r w:rsidR="009147C5" w:rsidRPr="004A4D63">
        <w:rPr>
          <w:sz w:val="28"/>
          <w:szCs w:val="28"/>
        </w:rPr>
        <w:tab/>
      </w:r>
    </w:p>
    <w:p w14:paraId="68373BD4" w14:textId="0F6B28E1" w:rsidR="009147C5" w:rsidRPr="004A4D63" w:rsidRDefault="003230D1" w:rsidP="00151398">
      <w:pPr>
        <w:spacing w:line="480" w:lineRule="auto"/>
        <w:outlineLvl w:val="0"/>
        <w:rPr>
          <w:b/>
          <w:bCs/>
          <w:sz w:val="28"/>
          <w:szCs w:val="28"/>
        </w:rPr>
      </w:pPr>
      <w:r w:rsidRPr="004A4D63">
        <w:rPr>
          <w:b/>
          <w:bCs/>
          <w:sz w:val="28"/>
          <w:szCs w:val="28"/>
        </w:rPr>
        <w:t>D</w:t>
      </w:r>
      <w:r w:rsidR="009147C5" w:rsidRPr="004A4D63">
        <w:rPr>
          <w:b/>
          <w:bCs/>
          <w:sz w:val="28"/>
          <w:szCs w:val="28"/>
        </w:rPr>
        <w:t xml:space="preserve">. </w:t>
      </w:r>
      <w:r w:rsidR="001E6D89" w:rsidRPr="004A4D63">
        <w:rPr>
          <w:b/>
          <w:bCs/>
          <w:sz w:val="28"/>
          <w:szCs w:val="28"/>
        </w:rPr>
        <w:t>WEIGHING COSTS AND BENEFITS</w:t>
      </w:r>
      <w:r w:rsidR="009147C5" w:rsidRPr="004A4D63">
        <w:rPr>
          <w:b/>
          <w:bCs/>
          <w:sz w:val="28"/>
          <w:szCs w:val="28"/>
        </w:rPr>
        <w:t xml:space="preserve"> </w:t>
      </w:r>
      <w:r w:rsidR="009147C5" w:rsidRPr="004A4D63">
        <w:rPr>
          <w:b/>
          <w:bCs/>
          <w:sz w:val="28"/>
          <w:szCs w:val="28"/>
        </w:rPr>
        <w:tab/>
      </w:r>
    </w:p>
    <w:p w14:paraId="00DFD05F" w14:textId="574E912F" w:rsidR="00DE6DD2" w:rsidRPr="004A4D63" w:rsidRDefault="00975136" w:rsidP="0065383A">
      <w:pPr>
        <w:spacing w:line="480" w:lineRule="auto"/>
        <w:outlineLvl w:val="0"/>
        <w:rPr>
          <w:sz w:val="28"/>
          <w:szCs w:val="28"/>
        </w:rPr>
      </w:pPr>
      <w:r w:rsidRPr="004A4D63">
        <w:rPr>
          <w:sz w:val="28"/>
          <w:szCs w:val="28"/>
        </w:rPr>
        <w:tab/>
      </w:r>
      <w:r w:rsidR="0053295B" w:rsidRPr="004A4D63">
        <w:rPr>
          <w:sz w:val="28"/>
          <w:szCs w:val="28"/>
        </w:rPr>
        <w:t xml:space="preserve">Weighing the case for and against greenlighting, my conclusion is </w:t>
      </w:r>
      <w:r w:rsidRPr="004A4D63">
        <w:rPr>
          <w:sz w:val="28"/>
          <w:szCs w:val="28"/>
        </w:rPr>
        <w:t>that the greenlighting function is valuable and should be preserved in agencies wh</w:t>
      </w:r>
      <w:r w:rsidR="00940036" w:rsidRPr="004A4D63">
        <w:rPr>
          <w:sz w:val="28"/>
          <w:szCs w:val="28"/>
        </w:rPr>
        <w:t>ere</w:t>
      </w:r>
      <w:r w:rsidRPr="004A4D63">
        <w:rPr>
          <w:sz w:val="28"/>
          <w:szCs w:val="28"/>
        </w:rPr>
        <w:t xml:space="preserve"> caseload permits it. </w:t>
      </w:r>
      <w:r w:rsidR="001244EF">
        <w:rPr>
          <w:sz w:val="28"/>
          <w:szCs w:val="28"/>
        </w:rPr>
        <w:t xml:space="preserve">Greenlighting produces substantial </w:t>
      </w:r>
      <w:r w:rsidRPr="004A4D63">
        <w:rPr>
          <w:sz w:val="28"/>
          <w:szCs w:val="28"/>
        </w:rPr>
        <w:t>advantages in terms of public administration</w:t>
      </w:r>
      <w:r w:rsidR="0053295B" w:rsidRPr="004A4D63">
        <w:rPr>
          <w:sz w:val="28"/>
          <w:szCs w:val="28"/>
        </w:rPr>
        <w:t xml:space="preserve"> norms, such as </w:t>
      </w:r>
      <w:r w:rsidR="006E6C0A">
        <w:rPr>
          <w:sz w:val="28"/>
          <w:szCs w:val="28"/>
        </w:rPr>
        <w:t xml:space="preserve">the need for accountability of staff, </w:t>
      </w:r>
      <w:r w:rsidR="0053295B" w:rsidRPr="004A4D63">
        <w:rPr>
          <w:sz w:val="28"/>
          <w:szCs w:val="28"/>
        </w:rPr>
        <w:t xml:space="preserve">improved supervision of staff, the sentinel effect, and the benefits of internal separation of powers.  Greenlighting also mitigates the </w:t>
      </w:r>
      <w:r w:rsidRPr="004A4D63">
        <w:rPr>
          <w:sz w:val="28"/>
          <w:szCs w:val="28"/>
        </w:rPr>
        <w:t>principal-agent problem</w:t>
      </w:r>
      <w:r w:rsidR="004A6EE8" w:rsidRPr="004A4D63">
        <w:rPr>
          <w:sz w:val="28"/>
          <w:szCs w:val="28"/>
        </w:rPr>
        <w:t xml:space="preserve">. </w:t>
      </w:r>
      <w:r w:rsidR="001244EF">
        <w:rPr>
          <w:sz w:val="28"/>
          <w:szCs w:val="28"/>
        </w:rPr>
        <w:t xml:space="preserve"> </w:t>
      </w:r>
      <w:r w:rsidR="006E6C0A">
        <w:rPr>
          <w:sz w:val="28"/>
          <w:szCs w:val="28"/>
        </w:rPr>
        <w:t>I believe that t</w:t>
      </w:r>
      <w:r w:rsidRPr="004A4D63">
        <w:rPr>
          <w:sz w:val="28"/>
          <w:szCs w:val="28"/>
        </w:rPr>
        <w:t xml:space="preserve">hese </w:t>
      </w:r>
      <w:r w:rsidR="0053295B" w:rsidRPr="004A4D63">
        <w:rPr>
          <w:sz w:val="28"/>
          <w:szCs w:val="28"/>
        </w:rPr>
        <w:t xml:space="preserve">benefits </w:t>
      </w:r>
      <w:r w:rsidRPr="004A4D63">
        <w:rPr>
          <w:sz w:val="28"/>
          <w:szCs w:val="28"/>
        </w:rPr>
        <w:t xml:space="preserve">outweigh the </w:t>
      </w:r>
      <w:r w:rsidR="004A6EE8" w:rsidRPr="004A4D63">
        <w:rPr>
          <w:sz w:val="28"/>
          <w:szCs w:val="28"/>
        </w:rPr>
        <w:t xml:space="preserve">problems of </w:t>
      </w:r>
      <w:r w:rsidRPr="004A4D63">
        <w:rPr>
          <w:sz w:val="28"/>
          <w:szCs w:val="28"/>
        </w:rPr>
        <w:t xml:space="preserve">confirmation bias </w:t>
      </w:r>
      <w:r w:rsidR="004A6EE8" w:rsidRPr="004A4D63">
        <w:rPr>
          <w:sz w:val="28"/>
          <w:szCs w:val="28"/>
        </w:rPr>
        <w:t>and inefficiency</w:t>
      </w:r>
      <w:r w:rsidR="004E1346" w:rsidRPr="004A4D63">
        <w:rPr>
          <w:sz w:val="28"/>
          <w:szCs w:val="28"/>
        </w:rPr>
        <w:t>,</w:t>
      </w:r>
      <w:r w:rsidR="004A6EE8" w:rsidRPr="004A4D63">
        <w:rPr>
          <w:sz w:val="28"/>
          <w:szCs w:val="28"/>
        </w:rPr>
        <w:t xml:space="preserve"> </w:t>
      </w:r>
      <w:r w:rsidRPr="004A4D63">
        <w:rPr>
          <w:sz w:val="28"/>
          <w:szCs w:val="28"/>
        </w:rPr>
        <w:t xml:space="preserve">but </w:t>
      </w:r>
      <w:r w:rsidR="001244EF">
        <w:rPr>
          <w:sz w:val="28"/>
          <w:szCs w:val="28"/>
        </w:rPr>
        <w:t>this article</w:t>
      </w:r>
      <w:r w:rsidRPr="004A4D63">
        <w:rPr>
          <w:sz w:val="28"/>
          <w:szCs w:val="28"/>
        </w:rPr>
        <w:t xml:space="preserve"> w</w:t>
      </w:r>
      <w:r w:rsidR="00905222" w:rsidRPr="004A4D63">
        <w:rPr>
          <w:sz w:val="28"/>
          <w:szCs w:val="28"/>
        </w:rPr>
        <w:t xml:space="preserve">ill </w:t>
      </w:r>
      <w:r w:rsidRPr="004A4D63">
        <w:rPr>
          <w:sz w:val="28"/>
          <w:szCs w:val="28"/>
        </w:rPr>
        <w:t xml:space="preserve">suggest further checks and balances in section V that </w:t>
      </w:r>
      <w:r w:rsidR="004A6EE8" w:rsidRPr="004A4D63">
        <w:rPr>
          <w:sz w:val="28"/>
          <w:szCs w:val="28"/>
        </w:rPr>
        <w:t xml:space="preserve">could </w:t>
      </w:r>
      <w:r w:rsidR="0053295B" w:rsidRPr="004A4D63">
        <w:rPr>
          <w:sz w:val="28"/>
          <w:szCs w:val="28"/>
        </w:rPr>
        <w:t xml:space="preserve">alleviate </w:t>
      </w:r>
      <w:r w:rsidRPr="004A4D63">
        <w:rPr>
          <w:sz w:val="28"/>
          <w:szCs w:val="28"/>
        </w:rPr>
        <w:t xml:space="preserve">both concerns.   </w:t>
      </w:r>
    </w:p>
    <w:p w14:paraId="39007228" w14:textId="6F364E5F" w:rsidR="00975136" w:rsidRPr="004A4D63" w:rsidRDefault="00DD0C36" w:rsidP="00151398">
      <w:pPr>
        <w:spacing w:line="480" w:lineRule="auto"/>
        <w:jc w:val="center"/>
        <w:rPr>
          <w:b/>
          <w:bCs/>
          <w:sz w:val="28"/>
          <w:szCs w:val="28"/>
        </w:rPr>
      </w:pPr>
      <w:r w:rsidRPr="004A4D63">
        <w:rPr>
          <w:b/>
          <w:bCs/>
          <w:sz w:val="28"/>
          <w:szCs w:val="28"/>
        </w:rPr>
        <w:t>I</w:t>
      </w:r>
      <w:r w:rsidR="009147C5" w:rsidRPr="004A4D63">
        <w:rPr>
          <w:b/>
          <w:bCs/>
          <w:sz w:val="28"/>
          <w:szCs w:val="28"/>
        </w:rPr>
        <w:t>V</w:t>
      </w:r>
      <w:r w:rsidR="00975136" w:rsidRPr="004A4D63">
        <w:rPr>
          <w:b/>
          <w:bCs/>
          <w:sz w:val="28"/>
          <w:szCs w:val="28"/>
        </w:rPr>
        <w:t xml:space="preserve">. </w:t>
      </w:r>
      <w:r w:rsidR="009147C5" w:rsidRPr="004A4D63">
        <w:rPr>
          <w:b/>
          <w:bCs/>
          <w:sz w:val="28"/>
          <w:szCs w:val="28"/>
        </w:rPr>
        <w:t xml:space="preserve"> LEGALITY OF </w:t>
      </w:r>
      <w:r w:rsidR="00975136" w:rsidRPr="004A4D63">
        <w:rPr>
          <w:b/>
          <w:bCs/>
          <w:sz w:val="28"/>
          <w:szCs w:val="28"/>
        </w:rPr>
        <w:t xml:space="preserve">GREENLIGHTING </w:t>
      </w:r>
    </w:p>
    <w:p w14:paraId="62E5A378" w14:textId="11699710" w:rsidR="00E81A67" w:rsidRPr="004A4D63" w:rsidRDefault="00975136" w:rsidP="0065383A">
      <w:pPr>
        <w:spacing w:line="480" w:lineRule="auto"/>
        <w:rPr>
          <w:sz w:val="28"/>
          <w:szCs w:val="28"/>
        </w:rPr>
      </w:pPr>
      <w:r w:rsidRPr="004A4D63">
        <w:rPr>
          <w:sz w:val="28"/>
          <w:szCs w:val="28"/>
        </w:rPr>
        <w:tab/>
      </w:r>
      <w:r w:rsidR="004E1346" w:rsidRPr="004A4D63">
        <w:rPr>
          <w:sz w:val="28"/>
          <w:szCs w:val="28"/>
        </w:rPr>
        <w:t xml:space="preserve">This section discusses </w:t>
      </w:r>
      <w:r w:rsidR="00E86B1A" w:rsidRPr="004A4D63">
        <w:rPr>
          <w:sz w:val="28"/>
          <w:szCs w:val="28"/>
        </w:rPr>
        <w:t xml:space="preserve">arguments that </w:t>
      </w:r>
      <w:r w:rsidR="004E1346" w:rsidRPr="004A4D63">
        <w:rPr>
          <w:sz w:val="28"/>
          <w:szCs w:val="28"/>
        </w:rPr>
        <w:t xml:space="preserve">greenlighting </w:t>
      </w:r>
      <w:r w:rsidR="00E86B1A" w:rsidRPr="004A4D63">
        <w:rPr>
          <w:sz w:val="28"/>
          <w:szCs w:val="28"/>
        </w:rPr>
        <w:t xml:space="preserve">violates due process or the APA. </w:t>
      </w:r>
    </w:p>
    <w:p w14:paraId="3EE54DAE" w14:textId="1AD500BB" w:rsidR="00014FCB" w:rsidRPr="004A4D63" w:rsidRDefault="00E81A67" w:rsidP="0065383A">
      <w:pPr>
        <w:spacing w:line="480" w:lineRule="auto"/>
        <w:rPr>
          <w:b/>
          <w:bCs/>
          <w:sz w:val="28"/>
          <w:szCs w:val="28"/>
        </w:rPr>
      </w:pPr>
      <w:r w:rsidRPr="004A4D63">
        <w:rPr>
          <w:b/>
          <w:bCs/>
          <w:sz w:val="28"/>
          <w:szCs w:val="28"/>
        </w:rPr>
        <w:t xml:space="preserve">A. </w:t>
      </w:r>
      <w:r w:rsidR="00DD0C36" w:rsidRPr="004A4D63">
        <w:rPr>
          <w:b/>
          <w:bCs/>
          <w:sz w:val="28"/>
          <w:szCs w:val="28"/>
        </w:rPr>
        <w:t xml:space="preserve"> DUE PROCESS</w:t>
      </w:r>
      <w:r w:rsidR="00237E7A" w:rsidRPr="004A4D63">
        <w:rPr>
          <w:b/>
          <w:bCs/>
          <w:sz w:val="28"/>
          <w:szCs w:val="28"/>
        </w:rPr>
        <w:t xml:space="preserve">  </w:t>
      </w:r>
    </w:p>
    <w:p w14:paraId="568A0EE9" w14:textId="3684ED74" w:rsidR="001E6D89" w:rsidRPr="004A4D63" w:rsidRDefault="00014FCB" w:rsidP="0065383A">
      <w:pPr>
        <w:spacing w:line="480" w:lineRule="auto"/>
        <w:rPr>
          <w:sz w:val="28"/>
          <w:szCs w:val="28"/>
        </w:rPr>
      </w:pPr>
      <w:r w:rsidRPr="004A4D63">
        <w:rPr>
          <w:sz w:val="28"/>
          <w:szCs w:val="28"/>
        </w:rPr>
        <w:tab/>
      </w:r>
      <w:r w:rsidR="00F63C6B" w:rsidRPr="004A4D63">
        <w:rPr>
          <w:sz w:val="28"/>
          <w:szCs w:val="28"/>
        </w:rPr>
        <w:t xml:space="preserve">Andrew Vollmer argues that </w:t>
      </w:r>
      <w:r w:rsidRPr="004A4D63">
        <w:rPr>
          <w:sz w:val="28"/>
          <w:szCs w:val="28"/>
        </w:rPr>
        <w:t xml:space="preserve">a target </w:t>
      </w:r>
      <w:r w:rsidR="00F63C6B" w:rsidRPr="004A4D63">
        <w:rPr>
          <w:sz w:val="28"/>
          <w:szCs w:val="28"/>
        </w:rPr>
        <w:t xml:space="preserve">of the SEC </w:t>
      </w:r>
      <w:r w:rsidRPr="004A4D63">
        <w:rPr>
          <w:sz w:val="28"/>
          <w:szCs w:val="28"/>
        </w:rPr>
        <w:t xml:space="preserve">is denied due process when the agency heads greenlight a complaint and later issue the final agency </w:t>
      </w:r>
      <w:r w:rsidRPr="004A4D63">
        <w:rPr>
          <w:sz w:val="28"/>
          <w:szCs w:val="28"/>
        </w:rPr>
        <w:lastRenderedPageBreak/>
        <w:t>decision</w:t>
      </w:r>
      <w:r w:rsidR="001E6D89" w:rsidRPr="004A4D63">
        <w:rPr>
          <w:sz w:val="28"/>
          <w:szCs w:val="28"/>
        </w:rPr>
        <w:t>.</w:t>
      </w:r>
      <w:r w:rsidR="001E6D89" w:rsidRPr="004A4D63">
        <w:rPr>
          <w:rStyle w:val="FootnoteReference"/>
          <w:sz w:val="28"/>
          <w:szCs w:val="28"/>
        </w:rPr>
        <w:footnoteReference w:id="134"/>
      </w:r>
      <w:r w:rsidR="001E6D89" w:rsidRPr="004A4D63">
        <w:rPr>
          <w:sz w:val="28"/>
          <w:szCs w:val="28"/>
        </w:rPr>
        <w:t xml:space="preserve"> I disagree with </w:t>
      </w:r>
      <w:r w:rsidR="001E3C97" w:rsidRPr="004A4D63">
        <w:rPr>
          <w:sz w:val="28"/>
          <w:szCs w:val="28"/>
        </w:rPr>
        <w:t xml:space="preserve">Vollmer’s </w:t>
      </w:r>
      <w:r w:rsidR="001E6D89" w:rsidRPr="004A4D63">
        <w:rPr>
          <w:sz w:val="28"/>
          <w:szCs w:val="28"/>
        </w:rPr>
        <w:t>analysis.</w:t>
      </w:r>
      <w:r w:rsidRPr="004A4D63">
        <w:rPr>
          <w:sz w:val="28"/>
          <w:szCs w:val="28"/>
        </w:rPr>
        <w:t xml:space="preserve"> </w:t>
      </w:r>
      <w:r w:rsidR="001E6D89" w:rsidRPr="004A4D63">
        <w:rPr>
          <w:sz w:val="28"/>
          <w:szCs w:val="28"/>
        </w:rPr>
        <w:t>T</w:t>
      </w:r>
      <w:r w:rsidR="00E20166" w:rsidRPr="004A4D63">
        <w:rPr>
          <w:sz w:val="28"/>
          <w:szCs w:val="28"/>
        </w:rPr>
        <w:t xml:space="preserve">he Supreme Court has </w:t>
      </w:r>
      <w:r w:rsidR="001E6D89" w:rsidRPr="004A4D63">
        <w:rPr>
          <w:sz w:val="28"/>
          <w:szCs w:val="28"/>
        </w:rPr>
        <w:t xml:space="preserve">consistently </w:t>
      </w:r>
      <w:r w:rsidR="00E20166" w:rsidRPr="004A4D63">
        <w:rPr>
          <w:sz w:val="28"/>
          <w:szCs w:val="28"/>
        </w:rPr>
        <w:t xml:space="preserve">rejected </w:t>
      </w:r>
      <w:r w:rsidR="00F63C6B" w:rsidRPr="004A4D63">
        <w:rPr>
          <w:sz w:val="28"/>
          <w:szCs w:val="28"/>
        </w:rPr>
        <w:t xml:space="preserve">constitutional </w:t>
      </w:r>
      <w:r w:rsidR="00E20166" w:rsidRPr="004A4D63">
        <w:rPr>
          <w:sz w:val="28"/>
          <w:szCs w:val="28"/>
        </w:rPr>
        <w:t>attacks</w:t>
      </w:r>
      <w:r w:rsidR="00F63C6B" w:rsidRPr="004A4D63">
        <w:rPr>
          <w:sz w:val="28"/>
          <w:szCs w:val="28"/>
        </w:rPr>
        <w:t xml:space="preserve"> that</w:t>
      </w:r>
      <w:r w:rsidR="00CD4D7F" w:rsidRPr="004A4D63">
        <w:rPr>
          <w:sz w:val="28"/>
          <w:szCs w:val="28"/>
        </w:rPr>
        <w:t xml:space="preserve"> aris</w:t>
      </w:r>
      <w:r w:rsidR="00F63C6B" w:rsidRPr="004A4D63">
        <w:rPr>
          <w:sz w:val="28"/>
          <w:szCs w:val="28"/>
        </w:rPr>
        <w:t>e</w:t>
      </w:r>
      <w:r w:rsidR="00CD4D7F" w:rsidRPr="004A4D63">
        <w:rPr>
          <w:sz w:val="28"/>
          <w:szCs w:val="28"/>
        </w:rPr>
        <w:t xml:space="preserve"> out of </w:t>
      </w:r>
      <w:r w:rsidR="00E20166" w:rsidRPr="004A4D63">
        <w:rPr>
          <w:sz w:val="28"/>
          <w:szCs w:val="28"/>
        </w:rPr>
        <w:t xml:space="preserve">the structure of </w:t>
      </w:r>
      <w:r w:rsidR="00F63C6B" w:rsidRPr="004A4D63">
        <w:rPr>
          <w:sz w:val="28"/>
          <w:szCs w:val="28"/>
        </w:rPr>
        <w:t xml:space="preserve"> combined-function</w:t>
      </w:r>
      <w:r w:rsidR="00CD4D7F" w:rsidRPr="004A4D63">
        <w:rPr>
          <w:sz w:val="28"/>
          <w:szCs w:val="28"/>
        </w:rPr>
        <w:t xml:space="preserve"> administrative </w:t>
      </w:r>
      <w:r w:rsidR="00E20166" w:rsidRPr="004A4D63">
        <w:rPr>
          <w:sz w:val="28"/>
          <w:szCs w:val="28"/>
        </w:rPr>
        <w:t>agenc</w:t>
      </w:r>
      <w:r w:rsidR="00955E43">
        <w:rPr>
          <w:sz w:val="28"/>
          <w:szCs w:val="28"/>
        </w:rPr>
        <w:t>ies</w:t>
      </w:r>
      <w:r w:rsidR="00E20166" w:rsidRPr="004A4D63">
        <w:rPr>
          <w:sz w:val="28"/>
          <w:szCs w:val="28"/>
        </w:rPr>
        <w:t xml:space="preserve">. </w:t>
      </w:r>
    </w:p>
    <w:p w14:paraId="02809B78" w14:textId="72F91D59" w:rsidR="00014A8C" w:rsidRPr="004A4D63" w:rsidRDefault="001E6D89" w:rsidP="0065383A">
      <w:pPr>
        <w:spacing w:line="480" w:lineRule="auto"/>
        <w:rPr>
          <w:sz w:val="28"/>
          <w:szCs w:val="28"/>
        </w:rPr>
      </w:pPr>
      <w:r w:rsidRPr="004A4D63">
        <w:rPr>
          <w:sz w:val="28"/>
          <w:szCs w:val="28"/>
        </w:rPr>
        <w:tab/>
      </w:r>
      <w:r w:rsidR="00F63C6B" w:rsidRPr="004A4D63">
        <w:rPr>
          <w:sz w:val="28"/>
          <w:szCs w:val="28"/>
        </w:rPr>
        <w:t xml:space="preserve">The leading case on this issue is </w:t>
      </w:r>
      <w:r w:rsidR="00E20166" w:rsidRPr="004A4D63">
        <w:rPr>
          <w:i/>
          <w:iCs/>
          <w:sz w:val="28"/>
          <w:szCs w:val="28"/>
        </w:rPr>
        <w:t>Withrow v. Larkin</w:t>
      </w:r>
      <w:r w:rsidR="00F63C6B" w:rsidRPr="004A4D63">
        <w:rPr>
          <w:i/>
          <w:iCs/>
          <w:sz w:val="28"/>
          <w:szCs w:val="28"/>
        </w:rPr>
        <w:t>.</w:t>
      </w:r>
      <w:r w:rsidR="00CD4D7F" w:rsidRPr="004A4D63">
        <w:rPr>
          <w:rStyle w:val="FootnoteReference"/>
          <w:sz w:val="28"/>
          <w:szCs w:val="28"/>
        </w:rPr>
        <w:footnoteReference w:id="135"/>
      </w:r>
      <w:r w:rsidR="00E20166" w:rsidRPr="004A4D63">
        <w:rPr>
          <w:sz w:val="28"/>
          <w:szCs w:val="28"/>
        </w:rPr>
        <w:t xml:space="preserve"> </w:t>
      </w:r>
      <w:r w:rsidR="00F63C6B" w:rsidRPr="004A4D63">
        <w:rPr>
          <w:sz w:val="28"/>
          <w:szCs w:val="28"/>
        </w:rPr>
        <w:t xml:space="preserve">In </w:t>
      </w:r>
      <w:r w:rsidR="00F63C6B" w:rsidRPr="004A4D63">
        <w:rPr>
          <w:i/>
          <w:iCs/>
          <w:sz w:val="28"/>
          <w:szCs w:val="28"/>
        </w:rPr>
        <w:t xml:space="preserve">Withrow, </w:t>
      </w:r>
      <w:r w:rsidR="00E20166" w:rsidRPr="004A4D63">
        <w:rPr>
          <w:sz w:val="28"/>
          <w:szCs w:val="28"/>
        </w:rPr>
        <w:t xml:space="preserve">the </w:t>
      </w:r>
      <w:r w:rsidR="00014A8C" w:rsidRPr="004A4D63">
        <w:rPr>
          <w:sz w:val="28"/>
          <w:szCs w:val="28"/>
        </w:rPr>
        <w:t xml:space="preserve">Supreme </w:t>
      </w:r>
      <w:r w:rsidR="00E20166" w:rsidRPr="004A4D63">
        <w:rPr>
          <w:sz w:val="28"/>
          <w:szCs w:val="28"/>
        </w:rPr>
        <w:t>Court assumed that the heads of a state medical licensing agency had personally investigated a physician’s conduct</w:t>
      </w:r>
      <w:r w:rsidR="00ED5AE0" w:rsidRPr="004A4D63">
        <w:rPr>
          <w:sz w:val="28"/>
          <w:szCs w:val="28"/>
        </w:rPr>
        <w:t xml:space="preserve">, authorized the filing of a criminal complaint against the physician, </w:t>
      </w:r>
      <w:r w:rsidR="00E20166" w:rsidRPr="004A4D63">
        <w:rPr>
          <w:sz w:val="28"/>
          <w:szCs w:val="28"/>
        </w:rPr>
        <w:t xml:space="preserve">and then </w:t>
      </w:r>
      <w:r w:rsidR="00F63C6B" w:rsidRPr="004A4D63">
        <w:rPr>
          <w:sz w:val="28"/>
          <w:szCs w:val="28"/>
        </w:rPr>
        <w:t xml:space="preserve">adjudicated a revocation of </w:t>
      </w:r>
      <w:r w:rsidR="00E20166" w:rsidRPr="004A4D63">
        <w:rPr>
          <w:sz w:val="28"/>
          <w:szCs w:val="28"/>
        </w:rPr>
        <w:t>his license</w:t>
      </w:r>
      <w:r w:rsidRPr="004A4D63">
        <w:rPr>
          <w:sz w:val="28"/>
          <w:szCs w:val="28"/>
        </w:rPr>
        <w:t>.</w:t>
      </w:r>
      <w:r w:rsidR="00E20166" w:rsidRPr="004A4D63">
        <w:rPr>
          <w:sz w:val="28"/>
          <w:szCs w:val="28"/>
        </w:rPr>
        <w:t xml:space="preserve"> The Court unanimously rejected the </w:t>
      </w:r>
      <w:r w:rsidR="00014A8C" w:rsidRPr="004A4D63">
        <w:rPr>
          <w:sz w:val="28"/>
          <w:szCs w:val="28"/>
        </w:rPr>
        <w:t xml:space="preserve">physician’s </w:t>
      </w:r>
      <w:r w:rsidR="00E20166" w:rsidRPr="004A4D63">
        <w:rPr>
          <w:sz w:val="28"/>
          <w:szCs w:val="28"/>
        </w:rPr>
        <w:t>due process claim</w:t>
      </w:r>
      <w:r w:rsidR="00014A8C" w:rsidRPr="004A4D63">
        <w:rPr>
          <w:sz w:val="28"/>
          <w:szCs w:val="28"/>
        </w:rPr>
        <w:t xml:space="preserve">. It held </w:t>
      </w:r>
      <w:r w:rsidR="00E20166" w:rsidRPr="004A4D63">
        <w:rPr>
          <w:sz w:val="28"/>
          <w:szCs w:val="28"/>
        </w:rPr>
        <w:t xml:space="preserve">that  agency heads could exercise the functions of </w:t>
      </w:r>
      <w:r w:rsidR="00837477" w:rsidRPr="004A4D63">
        <w:rPr>
          <w:sz w:val="28"/>
          <w:szCs w:val="28"/>
        </w:rPr>
        <w:t xml:space="preserve">both </w:t>
      </w:r>
      <w:r w:rsidR="00E20166" w:rsidRPr="004A4D63">
        <w:rPr>
          <w:sz w:val="28"/>
          <w:szCs w:val="28"/>
        </w:rPr>
        <w:t>investigation and adjudication</w:t>
      </w:r>
      <w:r w:rsidR="00AC7597" w:rsidRPr="004A4D63">
        <w:rPr>
          <w:sz w:val="28"/>
          <w:szCs w:val="28"/>
        </w:rPr>
        <w:t xml:space="preserve"> in the same case</w:t>
      </w:r>
      <w:r w:rsidR="005E75EC" w:rsidRPr="004A4D63">
        <w:rPr>
          <w:sz w:val="28"/>
          <w:szCs w:val="28"/>
        </w:rPr>
        <w:t>, absent particularized facts indicating that the heads had prejudged the case.</w:t>
      </w:r>
      <w:r w:rsidR="00014A8C" w:rsidRPr="004A4D63">
        <w:rPr>
          <w:sz w:val="28"/>
          <w:szCs w:val="28"/>
        </w:rPr>
        <w:t xml:space="preserve"> The Court pointed out that </w:t>
      </w:r>
      <w:r w:rsidR="00014A8C" w:rsidRPr="004A4D63">
        <w:rPr>
          <w:color w:val="212121"/>
          <w:sz w:val="28"/>
          <w:szCs w:val="28"/>
        </w:rPr>
        <w:t xml:space="preserve">there is no incompatibility between the agency filing a complaint based on probable cause and a subsequent </w:t>
      </w:r>
      <w:r w:rsidR="00F63C6B" w:rsidRPr="004A4D63">
        <w:rPr>
          <w:color w:val="212121"/>
          <w:sz w:val="28"/>
          <w:szCs w:val="28"/>
        </w:rPr>
        <w:t xml:space="preserve">adjudicatory </w:t>
      </w:r>
      <w:r w:rsidR="00014A8C" w:rsidRPr="004A4D63">
        <w:rPr>
          <w:color w:val="212121"/>
          <w:sz w:val="28"/>
          <w:szCs w:val="28"/>
        </w:rPr>
        <w:t>decision</w:t>
      </w:r>
      <w:r w:rsidR="00F63C6B" w:rsidRPr="004A4D63">
        <w:rPr>
          <w:color w:val="212121"/>
          <w:sz w:val="28"/>
          <w:szCs w:val="28"/>
        </w:rPr>
        <w:t xml:space="preserve"> rendered</w:t>
      </w:r>
      <w:r w:rsidR="00014A8C" w:rsidRPr="004A4D63">
        <w:rPr>
          <w:color w:val="212121"/>
          <w:sz w:val="28"/>
          <w:szCs w:val="28"/>
        </w:rPr>
        <w:t xml:space="preserve"> when all the evidence is in that there has been no violation of the statute.</w:t>
      </w:r>
      <w:r w:rsidR="00014A8C" w:rsidRPr="004A4D63">
        <w:rPr>
          <w:rStyle w:val="FootnoteReference"/>
          <w:color w:val="212121"/>
          <w:sz w:val="28"/>
          <w:szCs w:val="28"/>
        </w:rPr>
        <w:footnoteReference w:id="136"/>
      </w:r>
      <w:r w:rsidR="00014A8C" w:rsidRPr="004A4D63">
        <w:rPr>
          <w:color w:val="212121"/>
          <w:sz w:val="28"/>
          <w:szCs w:val="28"/>
        </w:rPr>
        <w:t xml:space="preserve"> </w:t>
      </w:r>
      <w:r w:rsidR="00E20166" w:rsidRPr="004A4D63">
        <w:rPr>
          <w:sz w:val="28"/>
          <w:szCs w:val="28"/>
        </w:rPr>
        <w:t xml:space="preserve">The </w:t>
      </w:r>
      <w:r w:rsidR="00935202" w:rsidRPr="00935202">
        <w:rPr>
          <w:i/>
          <w:iCs/>
          <w:sz w:val="28"/>
          <w:szCs w:val="28"/>
        </w:rPr>
        <w:t>Withrow</w:t>
      </w:r>
      <w:r w:rsidR="00935202">
        <w:rPr>
          <w:sz w:val="28"/>
          <w:szCs w:val="28"/>
        </w:rPr>
        <w:t xml:space="preserve"> </w:t>
      </w:r>
      <w:r w:rsidR="005E75EC" w:rsidRPr="004A4D63">
        <w:rPr>
          <w:sz w:val="28"/>
          <w:szCs w:val="28"/>
        </w:rPr>
        <w:t>C</w:t>
      </w:r>
      <w:r w:rsidR="00E20166" w:rsidRPr="004A4D63">
        <w:rPr>
          <w:sz w:val="28"/>
          <w:szCs w:val="28"/>
        </w:rPr>
        <w:t xml:space="preserve">ourt was </w:t>
      </w:r>
      <w:r w:rsidR="00ED5AE0" w:rsidRPr="004A4D63">
        <w:rPr>
          <w:sz w:val="28"/>
          <w:szCs w:val="28"/>
        </w:rPr>
        <w:t xml:space="preserve">obviously </w:t>
      </w:r>
      <w:r w:rsidR="00E20166" w:rsidRPr="004A4D63">
        <w:rPr>
          <w:sz w:val="28"/>
          <w:szCs w:val="28"/>
        </w:rPr>
        <w:t xml:space="preserve">concerned that a contrary decision would </w:t>
      </w:r>
      <w:r w:rsidR="00014A8C" w:rsidRPr="004A4D63">
        <w:rPr>
          <w:sz w:val="28"/>
          <w:szCs w:val="28"/>
        </w:rPr>
        <w:t xml:space="preserve">cast doubt on </w:t>
      </w:r>
      <w:r w:rsidR="00E20166" w:rsidRPr="004A4D63">
        <w:rPr>
          <w:sz w:val="28"/>
          <w:szCs w:val="28"/>
        </w:rPr>
        <w:t xml:space="preserve">the practices </w:t>
      </w:r>
      <w:r w:rsidR="00F63C6B" w:rsidRPr="004A4D63">
        <w:rPr>
          <w:sz w:val="28"/>
          <w:szCs w:val="28"/>
        </w:rPr>
        <w:t xml:space="preserve">of </w:t>
      </w:r>
      <w:r w:rsidR="00E20166" w:rsidRPr="004A4D63">
        <w:rPr>
          <w:sz w:val="28"/>
          <w:szCs w:val="28"/>
        </w:rPr>
        <w:t xml:space="preserve">countless </w:t>
      </w:r>
      <w:r w:rsidR="00AC7597" w:rsidRPr="004A4D63">
        <w:rPr>
          <w:sz w:val="28"/>
          <w:szCs w:val="28"/>
        </w:rPr>
        <w:t xml:space="preserve">federal, state and local </w:t>
      </w:r>
      <w:r w:rsidR="00014A8C" w:rsidRPr="004A4D63">
        <w:rPr>
          <w:sz w:val="28"/>
          <w:szCs w:val="28"/>
        </w:rPr>
        <w:t xml:space="preserve">licensing </w:t>
      </w:r>
      <w:r w:rsidR="00E20166" w:rsidRPr="004A4D63">
        <w:rPr>
          <w:sz w:val="28"/>
          <w:szCs w:val="28"/>
        </w:rPr>
        <w:t xml:space="preserve">agencies. </w:t>
      </w:r>
    </w:p>
    <w:p w14:paraId="3358C247" w14:textId="2FA9D2C8" w:rsidR="00837477" w:rsidRPr="004A4D63" w:rsidRDefault="00014A8C" w:rsidP="0065383A">
      <w:pPr>
        <w:spacing w:line="480" w:lineRule="auto"/>
        <w:rPr>
          <w:sz w:val="28"/>
          <w:szCs w:val="28"/>
        </w:rPr>
      </w:pPr>
      <w:r w:rsidRPr="004A4D63">
        <w:rPr>
          <w:sz w:val="28"/>
          <w:szCs w:val="28"/>
        </w:rPr>
        <w:lastRenderedPageBreak/>
        <w:tab/>
      </w:r>
      <w:r w:rsidR="00E20166" w:rsidRPr="004A4D63">
        <w:rPr>
          <w:sz w:val="28"/>
          <w:szCs w:val="28"/>
        </w:rPr>
        <w:t xml:space="preserve">The </w:t>
      </w:r>
      <w:r w:rsidR="005E75EC" w:rsidRPr="004A4D63">
        <w:rPr>
          <w:i/>
          <w:iCs/>
          <w:sz w:val="28"/>
          <w:szCs w:val="28"/>
        </w:rPr>
        <w:t>Withrow</w:t>
      </w:r>
      <w:r w:rsidR="005E75EC" w:rsidRPr="004A4D63">
        <w:rPr>
          <w:sz w:val="28"/>
          <w:szCs w:val="28"/>
        </w:rPr>
        <w:t xml:space="preserve"> </w:t>
      </w:r>
      <w:r w:rsidR="00E20166" w:rsidRPr="004A4D63">
        <w:rPr>
          <w:sz w:val="28"/>
          <w:szCs w:val="28"/>
        </w:rPr>
        <w:t>decision is supported by the principle of necessity—if the agency heads were disqualified</w:t>
      </w:r>
      <w:r w:rsidR="00F63C6B" w:rsidRPr="004A4D63">
        <w:rPr>
          <w:sz w:val="28"/>
          <w:szCs w:val="28"/>
        </w:rPr>
        <w:t xml:space="preserve"> by their involvement in prosecution, </w:t>
      </w:r>
      <w:r w:rsidR="00E20166" w:rsidRPr="004A4D63">
        <w:rPr>
          <w:sz w:val="28"/>
          <w:szCs w:val="28"/>
        </w:rPr>
        <w:t xml:space="preserve">there would </w:t>
      </w:r>
      <w:r w:rsidRPr="004A4D63">
        <w:rPr>
          <w:sz w:val="28"/>
          <w:szCs w:val="28"/>
        </w:rPr>
        <w:t xml:space="preserve">be </w:t>
      </w:r>
      <w:r w:rsidR="00E20166" w:rsidRPr="004A4D63">
        <w:rPr>
          <w:sz w:val="28"/>
          <w:szCs w:val="28"/>
        </w:rPr>
        <w:t>no way to adjudicate the case</w:t>
      </w:r>
      <w:r w:rsidRPr="004A4D63">
        <w:rPr>
          <w:sz w:val="28"/>
          <w:szCs w:val="28"/>
        </w:rPr>
        <w:t xml:space="preserve"> </w:t>
      </w:r>
      <w:r w:rsidR="005E75EC" w:rsidRPr="004A4D63">
        <w:rPr>
          <w:sz w:val="28"/>
          <w:szCs w:val="28"/>
        </w:rPr>
        <w:t xml:space="preserve">and thus no way to revoke </w:t>
      </w:r>
      <w:r w:rsidR="006907D5" w:rsidRPr="004A4D63">
        <w:rPr>
          <w:sz w:val="28"/>
          <w:szCs w:val="28"/>
        </w:rPr>
        <w:t xml:space="preserve">the doctor’s </w:t>
      </w:r>
      <w:r w:rsidR="005E75EC" w:rsidRPr="004A4D63">
        <w:rPr>
          <w:sz w:val="28"/>
          <w:szCs w:val="28"/>
        </w:rPr>
        <w:t>license</w:t>
      </w:r>
      <w:r w:rsidR="00E20166" w:rsidRPr="004A4D63">
        <w:rPr>
          <w:sz w:val="28"/>
          <w:szCs w:val="28"/>
        </w:rPr>
        <w:t xml:space="preserve">. </w:t>
      </w:r>
      <w:r w:rsidR="00772F57" w:rsidRPr="004A4D63">
        <w:rPr>
          <w:sz w:val="28"/>
          <w:szCs w:val="28"/>
        </w:rPr>
        <w:t xml:space="preserve"> </w:t>
      </w:r>
      <w:r w:rsidRPr="004A4D63">
        <w:rPr>
          <w:i/>
          <w:iCs/>
          <w:sz w:val="28"/>
          <w:szCs w:val="28"/>
        </w:rPr>
        <w:t>Withrow</w:t>
      </w:r>
      <w:r w:rsidR="00772F57" w:rsidRPr="004A4D63">
        <w:rPr>
          <w:sz w:val="28"/>
          <w:szCs w:val="28"/>
        </w:rPr>
        <w:t xml:space="preserve"> is consistent with several earlier Supreme Court decisions that held that agency </w:t>
      </w:r>
      <w:r w:rsidR="00ED5AE0" w:rsidRPr="004A4D63">
        <w:rPr>
          <w:sz w:val="28"/>
          <w:szCs w:val="28"/>
        </w:rPr>
        <w:t xml:space="preserve">adjudicatory decisionmakers </w:t>
      </w:r>
      <w:r w:rsidR="00772F57" w:rsidRPr="004A4D63">
        <w:rPr>
          <w:sz w:val="28"/>
          <w:szCs w:val="28"/>
        </w:rPr>
        <w:t>are not biased simply by reason of their involvement in earlier agency proceedings.</w:t>
      </w:r>
      <w:r w:rsidR="00772F57" w:rsidRPr="004A4D63">
        <w:rPr>
          <w:rStyle w:val="FootnoteReference"/>
          <w:sz w:val="28"/>
          <w:szCs w:val="28"/>
        </w:rPr>
        <w:footnoteReference w:id="137"/>
      </w:r>
      <w:r w:rsidR="00772F57" w:rsidRPr="004A4D63">
        <w:rPr>
          <w:sz w:val="28"/>
          <w:szCs w:val="28"/>
        </w:rPr>
        <w:t xml:space="preserve"> </w:t>
      </w:r>
    </w:p>
    <w:p w14:paraId="6C73B415" w14:textId="51A55C03" w:rsidR="00E20166" w:rsidRPr="004A4D63" w:rsidRDefault="00837477" w:rsidP="0065383A">
      <w:pPr>
        <w:spacing w:line="480" w:lineRule="auto"/>
        <w:rPr>
          <w:sz w:val="28"/>
          <w:szCs w:val="28"/>
        </w:rPr>
      </w:pPr>
      <w:r w:rsidRPr="004A4D63">
        <w:rPr>
          <w:sz w:val="28"/>
          <w:szCs w:val="28"/>
        </w:rPr>
        <w:tab/>
      </w:r>
      <w:r w:rsidR="00E20166" w:rsidRPr="004A4D63">
        <w:rPr>
          <w:sz w:val="28"/>
          <w:szCs w:val="28"/>
        </w:rPr>
        <w:t xml:space="preserve">Under </w:t>
      </w:r>
      <w:r w:rsidR="00E20166" w:rsidRPr="004A4D63">
        <w:rPr>
          <w:i/>
          <w:iCs/>
          <w:sz w:val="28"/>
          <w:szCs w:val="28"/>
        </w:rPr>
        <w:t xml:space="preserve">Withrow, </w:t>
      </w:r>
      <w:r w:rsidR="00E20166" w:rsidRPr="004A4D63">
        <w:rPr>
          <w:sz w:val="28"/>
          <w:szCs w:val="28"/>
        </w:rPr>
        <w:t xml:space="preserve">it seems clear that </w:t>
      </w:r>
      <w:r w:rsidR="005E75EC" w:rsidRPr="004A4D63">
        <w:rPr>
          <w:sz w:val="28"/>
          <w:szCs w:val="28"/>
        </w:rPr>
        <w:t xml:space="preserve">due process is not violated when </w:t>
      </w:r>
      <w:r w:rsidR="00E20166" w:rsidRPr="004A4D63">
        <w:rPr>
          <w:sz w:val="28"/>
          <w:szCs w:val="28"/>
        </w:rPr>
        <w:t xml:space="preserve">agency heads </w:t>
      </w:r>
      <w:r w:rsidR="00AC7597" w:rsidRPr="004A4D63">
        <w:rPr>
          <w:sz w:val="28"/>
          <w:szCs w:val="28"/>
        </w:rPr>
        <w:t xml:space="preserve">greenlight </w:t>
      </w:r>
      <w:r w:rsidR="00E20166" w:rsidRPr="004A4D63">
        <w:rPr>
          <w:sz w:val="28"/>
          <w:szCs w:val="28"/>
        </w:rPr>
        <w:t xml:space="preserve">a </w:t>
      </w:r>
      <w:r w:rsidR="005E75EC" w:rsidRPr="004A4D63">
        <w:rPr>
          <w:sz w:val="28"/>
          <w:szCs w:val="28"/>
        </w:rPr>
        <w:t xml:space="preserve">charging decision </w:t>
      </w:r>
      <w:r w:rsidR="00E20166" w:rsidRPr="004A4D63">
        <w:rPr>
          <w:sz w:val="28"/>
          <w:szCs w:val="28"/>
        </w:rPr>
        <w:t xml:space="preserve">and </w:t>
      </w:r>
      <w:r w:rsidR="00ED5AE0" w:rsidRPr="004A4D63">
        <w:rPr>
          <w:sz w:val="28"/>
          <w:szCs w:val="28"/>
        </w:rPr>
        <w:t xml:space="preserve">later make the final adjudicatory decision in the same </w:t>
      </w:r>
      <w:r w:rsidR="00E20166" w:rsidRPr="004A4D63">
        <w:rPr>
          <w:sz w:val="28"/>
          <w:szCs w:val="28"/>
        </w:rPr>
        <w:t xml:space="preserve">case, absent </w:t>
      </w:r>
      <w:r w:rsidR="00AC7597" w:rsidRPr="004A4D63">
        <w:rPr>
          <w:sz w:val="28"/>
          <w:szCs w:val="28"/>
        </w:rPr>
        <w:t xml:space="preserve">some further </w:t>
      </w:r>
      <w:r w:rsidR="00E20166" w:rsidRPr="004A4D63">
        <w:rPr>
          <w:sz w:val="28"/>
          <w:szCs w:val="28"/>
        </w:rPr>
        <w:t xml:space="preserve">evidence that they had prejudged the </w:t>
      </w:r>
      <w:r w:rsidR="00ED5AE0" w:rsidRPr="004A4D63">
        <w:rPr>
          <w:sz w:val="28"/>
          <w:szCs w:val="28"/>
        </w:rPr>
        <w:t>i</w:t>
      </w:r>
      <w:r w:rsidR="00E20166" w:rsidRPr="004A4D63">
        <w:rPr>
          <w:sz w:val="28"/>
          <w:szCs w:val="28"/>
        </w:rPr>
        <w:t>ssue</w:t>
      </w:r>
      <w:r w:rsidR="00ED5AE0" w:rsidRPr="004A4D63">
        <w:rPr>
          <w:sz w:val="28"/>
          <w:szCs w:val="28"/>
        </w:rPr>
        <w:t>s</w:t>
      </w:r>
      <w:r w:rsidR="00E20166" w:rsidRPr="004A4D63">
        <w:rPr>
          <w:sz w:val="28"/>
          <w:szCs w:val="28"/>
        </w:rPr>
        <w:t xml:space="preserve">. Since </w:t>
      </w:r>
      <w:r w:rsidR="00E20166" w:rsidRPr="004A4D63">
        <w:rPr>
          <w:i/>
          <w:iCs/>
          <w:sz w:val="28"/>
          <w:szCs w:val="28"/>
        </w:rPr>
        <w:t>Withrow</w:t>
      </w:r>
      <w:r w:rsidR="00E20166" w:rsidRPr="004A4D63">
        <w:rPr>
          <w:sz w:val="28"/>
          <w:szCs w:val="28"/>
        </w:rPr>
        <w:t xml:space="preserve">, federal courts have consistently rejected arguments that agency heads </w:t>
      </w:r>
      <w:r w:rsidR="008B47F3" w:rsidRPr="004A4D63">
        <w:rPr>
          <w:sz w:val="28"/>
          <w:szCs w:val="28"/>
        </w:rPr>
        <w:t xml:space="preserve">who </w:t>
      </w:r>
      <w:r w:rsidR="00E20166" w:rsidRPr="004A4D63">
        <w:rPr>
          <w:sz w:val="28"/>
          <w:szCs w:val="28"/>
        </w:rPr>
        <w:t>exercise</w:t>
      </w:r>
      <w:r w:rsidR="008B47F3" w:rsidRPr="004A4D63">
        <w:rPr>
          <w:sz w:val="28"/>
          <w:szCs w:val="28"/>
        </w:rPr>
        <w:t>d</w:t>
      </w:r>
      <w:r w:rsidR="00E20166" w:rsidRPr="004A4D63">
        <w:rPr>
          <w:sz w:val="28"/>
          <w:szCs w:val="28"/>
        </w:rPr>
        <w:t xml:space="preserve"> overlapping functions</w:t>
      </w:r>
      <w:r w:rsidR="008B47F3" w:rsidRPr="004A4D63">
        <w:rPr>
          <w:sz w:val="28"/>
          <w:szCs w:val="28"/>
        </w:rPr>
        <w:t xml:space="preserve"> could not fairly adjudicate a case</w:t>
      </w:r>
      <w:r w:rsidR="00E20166" w:rsidRPr="004A4D63">
        <w:rPr>
          <w:sz w:val="28"/>
          <w:szCs w:val="28"/>
        </w:rPr>
        <w:t>.</w:t>
      </w:r>
      <w:r w:rsidR="008B47F3" w:rsidRPr="004A4D63">
        <w:rPr>
          <w:rStyle w:val="FootnoteReference"/>
          <w:sz w:val="28"/>
          <w:szCs w:val="28"/>
        </w:rPr>
        <w:footnoteReference w:id="138"/>
      </w:r>
      <w:r w:rsidR="00E20166" w:rsidRPr="004A4D63">
        <w:rPr>
          <w:sz w:val="28"/>
          <w:szCs w:val="28"/>
        </w:rPr>
        <w:t xml:space="preserve"> </w:t>
      </w:r>
    </w:p>
    <w:p w14:paraId="3494FE81" w14:textId="77777777" w:rsidR="00E20166" w:rsidRPr="004A4D63" w:rsidRDefault="00E20166" w:rsidP="0065383A">
      <w:pPr>
        <w:spacing w:line="480" w:lineRule="auto"/>
        <w:rPr>
          <w:sz w:val="28"/>
          <w:szCs w:val="28"/>
        </w:rPr>
      </w:pPr>
    </w:p>
    <w:p w14:paraId="0B3B2F8E" w14:textId="2A2EDEF3" w:rsidR="00A5240D" w:rsidRPr="004A4D63" w:rsidRDefault="008B47F3" w:rsidP="0065383A">
      <w:pPr>
        <w:spacing w:line="480" w:lineRule="auto"/>
        <w:rPr>
          <w:sz w:val="28"/>
          <w:szCs w:val="28"/>
        </w:rPr>
      </w:pPr>
      <w:r w:rsidRPr="004A4D63">
        <w:rPr>
          <w:sz w:val="28"/>
          <w:szCs w:val="28"/>
        </w:rPr>
        <w:t xml:space="preserve">         </w:t>
      </w:r>
      <w:r w:rsidR="007B5959" w:rsidRPr="004A4D63">
        <w:rPr>
          <w:sz w:val="28"/>
          <w:szCs w:val="28"/>
        </w:rPr>
        <w:t>Despite this authority,</w:t>
      </w:r>
      <w:r w:rsidR="00D0518D" w:rsidRPr="004A4D63">
        <w:rPr>
          <w:sz w:val="28"/>
          <w:szCs w:val="28"/>
        </w:rPr>
        <w:t xml:space="preserve"> </w:t>
      </w:r>
      <w:r w:rsidR="002A41CE" w:rsidRPr="004A4D63">
        <w:rPr>
          <w:sz w:val="28"/>
          <w:szCs w:val="28"/>
        </w:rPr>
        <w:t>Vollmer</w:t>
      </w:r>
      <w:r w:rsidR="00E20166" w:rsidRPr="004A4D63">
        <w:rPr>
          <w:sz w:val="28"/>
          <w:szCs w:val="28"/>
        </w:rPr>
        <w:t xml:space="preserve"> argue</w:t>
      </w:r>
      <w:r w:rsidR="002A41CE" w:rsidRPr="004A4D63">
        <w:rPr>
          <w:sz w:val="28"/>
          <w:szCs w:val="28"/>
        </w:rPr>
        <w:t>s</w:t>
      </w:r>
      <w:r w:rsidR="00E20166" w:rsidRPr="004A4D63">
        <w:rPr>
          <w:sz w:val="28"/>
          <w:szCs w:val="28"/>
        </w:rPr>
        <w:t xml:space="preserve"> that due process is violated </w:t>
      </w:r>
      <w:r w:rsidRPr="004A4D63">
        <w:rPr>
          <w:sz w:val="28"/>
          <w:szCs w:val="28"/>
        </w:rPr>
        <w:t xml:space="preserve">when agency heads </w:t>
      </w:r>
      <w:r w:rsidR="002A41CE" w:rsidRPr="004A4D63">
        <w:rPr>
          <w:sz w:val="28"/>
          <w:szCs w:val="28"/>
        </w:rPr>
        <w:t xml:space="preserve">greenlight and later adjudicate </w:t>
      </w:r>
      <w:r w:rsidRPr="004A4D63">
        <w:rPr>
          <w:sz w:val="28"/>
          <w:szCs w:val="28"/>
        </w:rPr>
        <w:t xml:space="preserve">the </w:t>
      </w:r>
      <w:r w:rsidR="002A41CE" w:rsidRPr="004A4D63">
        <w:rPr>
          <w:sz w:val="28"/>
          <w:szCs w:val="28"/>
        </w:rPr>
        <w:t xml:space="preserve">same </w:t>
      </w:r>
      <w:r w:rsidRPr="004A4D63">
        <w:rPr>
          <w:sz w:val="28"/>
          <w:szCs w:val="28"/>
        </w:rPr>
        <w:t xml:space="preserve">case. His analysis is based </w:t>
      </w:r>
      <w:r w:rsidR="00B06602" w:rsidRPr="004A4D63">
        <w:rPr>
          <w:sz w:val="28"/>
          <w:szCs w:val="28"/>
        </w:rPr>
        <w:t xml:space="preserve">on </w:t>
      </w:r>
      <w:r w:rsidR="00E20166" w:rsidRPr="004A4D63">
        <w:rPr>
          <w:i/>
          <w:iCs/>
          <w:sz w:val="28"/>
          <w:szCs w:val="28"/>
        </w:rPr>
        <w:t>Williams v. Pennsylvania</w:t>
      </w:r>
      <w:r w:rsidRPr="004A4D63">
        <w:rPr>
          <w:i/>
          <w:iCs/>
          <w:sz w:val="28"/>
          <w:szCs w:val="28"/>
        </w:rPr>
        <w:t>.</w:t>
      </w:r>
      <w:r w:rsidR="00A5240D" w:rsidRPr="004A4D63">
        <w:rPr>
          <w:rStyle w:val="FootnoteReference"/>
          <w:sz w:val="28"/>
          <w:szCs w:val="28"/>
        </w:rPr>
        <w:footnoteReference w:id="139"/>
      </w:r>
      <w:r w:rsidRPr="004A4D63">
        <w:rPr>
          <w:i/>
          <w:iCs/>
          <w:sz w:val="28"/>
          <w:szCs w:val="28"/>
        </w:rPr>
        <w:t xml:space="preserve"> Williams</w:t>
      </w:r>
      <w:r w:rsidRPr="004A4D63">
        <w:rPr>
          <w:sz w:val="28"/>
          <w:szCs w:val="28"/>
        </w:rPr>
        <w:t xml:space="preserve"> was a death penalty case in which </w:t>
      </w:r>
      <w:r w:rsidR="00ED5AE0" w:rsidRPr="004A4D63">
        <w:rPr>
          <w:sz w:val="28"/>
          <w:szCs w:val="28"/>
        </w:rPr>
        <w:t xml:space="preserve">Ronald Castille </w:t>
      </w:r>
      <w:r w:rsidR="007B5959" w:rsidRPr="004A4D63">
        <w:rPr>
          <w:sz w:val="28"/>
          <w:szCs w:val="28"/>
        </w:rPr>
        <w:t xml:space="preserve">had previously </w:t>
      </w:r>
      <w:r w:rsidR="00531521" w:rsidRPr="004A4D63">
        <w:rPr>
          <w:sz w:val="28"/>
          <w:szCs w:val="28"/>
        </w:rPr>
        <w:t>s</w:t>
      </w:r>
      <w:r w:rsidRPr="004A4D63">
        <w:rPr>
          <w:sz w:val="28"/>
          <w:szCs w:val="28"/>
        </w:rPr>
        <w:t>erved as a prosecutor</w:t>
      </w:r>
      <w:r w:rsidR="007B5959" w:rsidRPr="004A4D63">
        <w:rPr>
          <w:sz w:val="28"/>
          <w:szCs w:val="28"/>
        </w:rPr>
        <w:t>.</w:t>
      </w:r>
      <w:r w:rsidR="00531521" w:rsidRPr="004A4D63">
        <w:rPr>
          <w:sz w:val="28"/>
          <w:szCs w:val="28"/>
        </w:rPr>
        <w:t xml:space="preserve"> </w:t>
      </w:r>
      <w:r w:rsidR="00ED5AE0" w:rsidRPr="004A4D63">
        <w:rPr>
          <w:sz w:val="28"/>
          <w:szCs w:val="28"/>
        </w:rPr>
        <w:t>Castille l</w:t>
      </w:r>
      <w:r w:rsidRPr="004A4D63">
        <w:rPr>
          <w:sz w:val="28"/>
          <w:szCs w:val="28"/>
        </w:rPr>
        <w:t xml:space="preserve">ater became a justice on the Pennsylvania Supreme Court and </w:t>
      </w:r>
      <w:r w:rsidR="00531521" w:rsidRPr="004A4D63">
        <w:rPr>
          <w:sz w:val="28"/>
          <w:szCs w:val="28"/>
        </w:rPr>
        <w:t xml:space="preserve">voted to </w:t>
      </w:r>
      <w:r w:rsidRPr="004A4D63">
        <w:rPr>
          <w:sz w:val="28"/>
          <w:szCs w:val="28"/>
        </w:rPr>
        <w:t>uph</w:t>
      </w:r>
      <w:r w:rsidR="00531521" w:rsidRPr="004A4D63">
        <w:rPr>
          <w:sz w:val="28"/>
          <w:szCs w:val="28"/>
        </w:rPr>
        <w:t>o</w:t>
      </w:r>
      <w:r w:rsidRPr="004A4D63">
        <w:rPr>
          <w:sz w:val="28"/>
          <w:szCs w:val="28"/>
        </w:rPr>
        <w:t>ld the death penalty</w:t>
      </w:r>
      <w:r w:rsidR="00B06602" w:rsidRPr="004A4D63">
        <w:rPr>
          <w:sz w:val="28"/>
          <w:szCs w:val="28"/>
        </w:rPr>
        <w:t xml:space="preserve"> in the same case</w:t>
      </w:r>
      <w:r w:rsidR="00ED5AE0" w:rsidRPr="004A4D63">
        <w:rPr>
          <w:sz w:val="28"/>
          <w:szCs w:val="28"/>
        </w:rPr>
        <w:t xml:space="preserve"> he had helped to prosecute</w:t>
      </w:r>
      <w:r w:rsidRPr="004A4D63">
        <w:rPr>
          <w:sz w:val="28"/>
          <w:szCs w:val="28"/>
        </w:rPr>
        <w:t xml:space="preserve">. </w:t>
      </w:r>
      <w:r w:rsidR="00ED5AE0" w:rsidRPr="004A4D63">
        <w:rPr>
          <w:sz w:val="28"/>
          <w:szCs w:val="28"/>
        </w:rPr>
        <w:t xml:space="preserve"> The Supreme Court held that this </w:t>
      </w:r>
      <w:r w:rsidRPr="004A4D63">
        <w:rPr>
          <w:sz w:val="28"/>
          <w:szCs w:val="28"/>
        </w:rPr>
        <w:t xml:space="preserve">combination of functions violated due process.  </w:t>
      </w:r>
    </w:p>
    <w:p w14:paraId="66E6BF47" w14:textId="632BD429" w:rsidR="00A5240D" w:rsidRPr="004A4D63" w:rsidRDefault="00A5240D" w:rsidP="0065383A">
      <w:pPr>
        <w:spacing w:line="480" w:lineRule="auto"/>
        <w:rPr>
          <w:sz w:val="28"/>
          <w:szCs w:val="28"/>
        </w:rPr>
      </w:pPr>
      <w:r w:rsidRPr="004A4D63">
        <w:rPr>
          <w:sz w:val="28"/>
          <w:szCs w:val="28"/>
        </w:rPr>
        <w:tab/>
      </w:r>
      <w:r w:rsidR="008B47F3" w:rsidRPr="004A4D63">
        <w:rPr>
          <w:sz w:val="28"/>
          <w:szCs w:val="28"/>
        </w:rPr>
        <w:t xml:space="preserve">It seems plain that </w:t>
      </w:r>
      <w:r w:rsidR="008B47F3" w:rsidRPr="004A4D63">
        <w:rPr>
          <w:i/>
          <w:iCs/>
          <w:sz w:val="28"/>
          <w:szCs w:val="28"/>
        </w:rPr>
        <w:t xml:space="preserve">Williams </w:t>
      </w:r>
      <w:r w:rsidR="008B47F3" w:rsidRPr="004A4D63">
        <w:rPr>
          <w:sz w:val="28"/>
          <w:szCs w:val="28"/>
        </w:rPr>
        <w:t>is distinguishable</w:t>
      </w:r>
      <w:r w:rsidRPr="004A4D63">
        <w:rPr>
          <w:sz w:val="28"/>
          <w:szCs w:val="28"/>
        </w:rPr>
        <w:t xml:space="preserve"> from the </w:t>
      </w:r>
      <w:r w:rsidR="00531521" w:rsidRPr="004A4D63">
        <w:rPr>
          <w:sz w:val="28"/>
          <w:szCs w:val="28"/>
        </w:rPr>
        <w:t xml:space="preserve">administrative </w:t>
      </w:r>
      <w:r w:rsidRPr="004A4D63">
        <w:rPr>
          <w:sz w:val="28"/>
          <w:szCs w:val="28"/>
        </w:rPr>
        <w:t xml:space="preserve">greenlighting issue. </w:t>
      </w:r>
      <w:r w:rsidR="008B47F3" w:rsidRPr="004A4D63">
        <w:rPr>
          <w:sz w:val="28"/>
          <w:szCs w:val="28"/>
        </w:rPr>
        <w:t xml:space="preserve">It is </w:t>
      </w:r>
      <w:r w:rsidR="00ED5AE0" w:rsidRPr="004A4D63">
        <w:rPr>
          <w:sz w:val="28"/>
          <w:szCs w:val="28"/>
        </w:rPr>
        <w:t xml:space="preserve">shocking and </w:t>
      </w:r>
      <w:r w:rsidR="008B47F3" w:rsidRPr="004A4D63">
        <w:rPr>
          <w:sz w:val="28"/>
          <w:szCs w:val="28"/>
        </w:rPr>
        <w:t xml:space="preserve">inexplicable that a justice on </w:t>
      </w:r>
      <w:r w:rsidR="00B06602" w:rsidRPr="004A4D63">
        <w:rPr>
          <w:sz w:val="28"/>
          <w:szCs w:val="28"/>
        </w:rPr>
        <w:t>a</w:t>
      </w:r>
      <w:r w:rsidR="008B47F3" w:rsidRPr="004A4D63">
        <w:rPr>
          <w:sz w:val="28"/>
          <w:szCs w:val="28"/>
        </w:rPr>
        <w:t xml:space="preserve"> state suprem</w:t>
      </w:r>
      <w:r w:rsidR="00B06602" w:rsidRPr="004A4D63">
        <w:rPr>
          <w:sz w:val="28"/>
          <w:szCs w:val="28"/>
        </w:rPr>
        <w:t>e</w:t>
      </w:r>
      <w:r w:rsidR="008B47F3" w:rsidRPr="004A4D63">
        <w:rPr>
          <w:sz w:val="28"/>
          <w:szCs w:val="28"/>
        </w:rPr>
        <w:t xml:space="preserve"> court would not disqualify himself in </w:t>
      </w:r>
      <w:r w:rsidR="006907D5" w:rsidRPr="004A4D63">
        <w:rPr>
          <w:sz w:val="28"/>
          <w:szCs w:val="28"/>
        </w:rPr>
        <w:t xml:space="preserve">a case he had prosecuted. </w:t>
      </w:r>
      <w:r w:rsidR="00ED5AE0" w:rsidRPr="004A4D63">
        <w:rPr>
          <w:sz w:val="28"/>
          <w:szCs w:val="28"/>
        </w:rPr>
        <w:t>I</w:t>
      </w:r>
      <w:r w:rsidR="008B47F3" w:rsidRPr="004A4D63">
        <w:rPr>
          <w:sz w:val="28"/>
          <w:szCs w:val="28"/>
        </w:rPr>
        <w:t xml:space="preserve">t </w:t>
      </w:r>
      <w:r w:rsidR="00B06602" w:rsidRPr="004A4D63">
        <w:rPr>
          <w:sz w:val="28"/>
          <w:szCs w:val="28"/>
        </w:rPr>
        <w:t xml:space="preserve">is </w:t>
      </w:r>
      <w:r w:rsidR="006907D5" w:rsidRPr="004A4D63">
        <w:rPr>
          <w:sz w:val="28"/>
          <w:szCs w:val="28"/>
        </w:rPr>
        <w:t xml:space="preserve">a </w:t>
      </w:r>
      <w:r w:rsidR="008B47F3" w:rsidRPr="004A4D63">
        <w:rPr>
          <w:sz w:val="28"/>
          <w:szCs w:val="28"/>
        </w:rPr>
        <w:t xml:space="preserve">gross breach of judicial ethics </w:t>
      </w:r>
      <w:r w:rsidR="00ED5AE0" w:rsidRPr="004A4D63">
        <w:rPr>
          <w:sz w:val="28"/>
          <w:szCs w:val="28"/>
        </w:rPr>
        <w:t xml:space="preserve">for a judge </w:t>
      </w:r>
      <w:r w:rsidR="008B47F3" w:rsidRPr="004A4D63">
        <w:rPr>
          <w:sz w:val="28"/>
          <w:szCs w:val="28"/>
        </w:rPr>
        <w:t>to decide a case in which the ju</w:t>
      </w:r>
      <w:r w:rsidR="00ED5AE0" w:rsidRPr="004A4D63">
        <w:rPr>
          <w:sz w:val="28"/>
          <w:szCs w:val="28"/>
        </w:rPr>
        <w:t xml:space="preserve">dge </w:t>
      </w:r>
      <w:r w:rsidR="008B47F3" w:rsidRPr="004A4D63">
        <w:rPr>
          <w:sz w:val="28"/>
          <w:szCs w:val="28"/>
        </w:rPr>
        <w:t>served as counsel in an earlier phase</w:t>
      </w:r>
      <w:r w:rsidR="00B06602" w:rsidRPr="004A4D63">
        <w:rPr>
          <w:sz w:val="28"/>
          <w:szCs w:val="28"/>
        </w:rPr>
        <w:t xml:space="preserve"> of the case, </w:t>
      </w:r>
      <w:r w:rsidR="008B47F3" w:rsidRPr="004A4D63">
        <w:rPr>
          <w:sz w:val="28"/>
          <w:szCs w:val="28"/>
        </w:rPr>
        <w:t>let alone a death penalty case.</w:t>
      </w:r>
      <w:r w:rsidR="00531521" w:rsidRPr="004A4D63">
        <w:rPr>
          <w:rStyle w:val="FootnoteReference"/>
          <w:sz w:val="28"/>
          <w:szCs w:val="28"/>
        </w:rPr>
        <w:footnoteReference w:id="140"/>
      </w:r>
      <w:r w:rsidR="008B47F3" w:rsidRPr="004A4D63">
        <w:rPr>
          <w:sz w:val="28"/>
          <w:szCs w:val="28"/>
        </w:rPr>
        <w:t xml:space="preserve"> </w:t>
      </w:r>
      <w:r w:rsidR="00ED5AE0" w:rsidRPr="004A4D63">
        <w:rPr>
          <w:sz w:val="28"/>
          <w:szCs w:val="28"/>
        </w:rPr>
        <w:t xml:space="preserve">The </w:t>
      </w:r>
      <w:r w:rsidR="00ED5AE0" w:rsidRPr="004A4D63">
        <w:rPr>
          <w:i/>
          <w:iCs/>
          <w:sz w:val="28"/>
          <w:szCs w:val="28"/>
        </w:rPr>
        <w:t>Williams</w:t>
      </w:r>
      <w:r w:rsidR="00ED5AE0" w:rsidRPr="004A4D63">
        <w:rPr>
          <w:i/>
          <w:iCs/>
          <w:sz w:val="28"/>
          <w:szCs w:val="28"/>
          <w:u w:val="single"/>
        </w:rPr>
        <w:t xml:space="preserve"> </w:t>
      </w:r>
      <w:r w:rsidR="00ED5AE0" w:rsidRPr="004A4D63">
        <w:rPr>
          <w:sz w:val="28"/>
          <w:szCs w:val="28"/>
        </w:rPr>
        <w:t>scenario</w:t>
      </w:r>
      <w:r w:rsidRPr="004A4D63">
        <w:rPr>
          <w:sz w:val="28"/>
          <w:szCs w:val="28"/>
        </w:rPr>
        <w:t xml:space="preserve"> is likely a situation that will never </w:t>
      </w:r>
      <w:r w:rsidR="002A41CE" w:rsidRPr="004A4D63">
        <w:rPr>
          <w:sz w:val="28"/>
          <w:szCs w:val="28"/>
        </w:rPr>
        <w:t xml:space="preserve">recur. </w:t>
      </w:r>
      <w:r w:rsidR="007B5959" w:rsidRPr="004A4D63">
        <w:rPr>
          <w:sz w:val="28"/>
          <w:szCs w:val="28"/>
        </w:rPr>
        <w:t xml:space="preserve"> It easily fits into the </w:t>
      </w:r>
      <w:r w:rsidR="007B5959" w:rsidRPr="004A4D63">
        <w:rPr>
          <w:i/>
          <w:iCs/>
          <w:sz w:val="28"/>
          <w:szCs w:val="28"/>
        </w:rPr>
        <w:t xml:space="preserve">Withrow </w:t>
      </w:r>
      <w:r w:rsidR="007B5959" w:rsidRPr="004A4D63">
        <w:rPr>
          <w:sz w:val="28"/>
          <w:szCs w:val="28"/>
        </w:rPr>
        <w:t xml:space="preserve">exception for particularized facts that reveal prejudgment. </w:t>
      </w:r>
      <w:r w:rsidR="008B47F3" w:rsidRPr="004A4D63">
        <w:rPr>
          <w:sz w:val="28"/>
          <w:szCs w:val="28"/>
        </w:rPr>
        <w:t xml:space="preserve">In contrast, there is no </w:t>
      </w:r>
      <w:r w:rsidR="008B47F3" w:rsidRPr="004A4D63">
        <w:rPr>
          <w:sz w:val="28"/>
          <w:szCs w:val="28"/>
        </w:rPr>
        <w:lastRenderedPageBreak/>
        <w:t xml:space="preserve">breach of </w:t>
      </w:r>
      <w:r w:rsidR="007B5959" w:rsidRPr="004A4D63">
        <w:rPr>
          <w:sz w:val="28"/>
          <w:szCs w:val="28"/>
        </w:rPr>
        <w:t xml:space="preserve">judicial </w:t>
      </w:r>
      <w:r w:rsidR="008B47F3" w:rsidRPr="004A4D63">
        <w:rPr>
          <w:sz w:val="28"/>
          <w:szCs w:val="28"/>
        </w:rPr>
        <w:t xml:space="preserve">ethics </w:t>
      </w:r>
      <w:r w:rsidR="007B5959" w:rsidRPr="004A4D63">
        <w:rPr>
          <w:sz w:val="28"/>
          <w:szCs w:val="28"/>
        </w:rPr>
        <w:t xml:space="preserve">and no particularized facts indicating prejudgment </w:t>
      </w:r>
      <w:r w:rsidR="008B47F3" w:rsidRPr="004A4D63">
        <w:rPr>
          <w:sz w:val="28"/>
          <w:szCs w:val="28"/>
        </w:rPr>
        <w:t xml:space="preserve">when an agency head </w:t>
      </w:r>
      <w:r w:rsidR="00ED5AE0" w:rsidRPr="004A4D63">
        <w:rPr>
          <w:sz w:val="28"/>
          <w:szCs w:val="28"/>
        </w:rPr>
        <w:t xml:space="preserve">greenlights </w:t>
      </w:r>
      <w:r w:rsidR="008B47F3" w:rsidRPr="004A4D63">
        <w:rPr>
          <w:sz w:val="28"/>
          <w:szCs w:val="28"/>
        </w:rPr>
        <w:t>a prosecution, then decides the case</w:t>
      </w:r>
      <w:r w:rsidR="007B5959" w:rsidRPr="004A4D63">
        <w:rPr>
          <w:sz w:val="28"/>
          <w:szCs w:val="28"/>
        </w:rPr>
        <w:t>.  S</w:t>
      </w:r>
      <w:r w:rsidR="008B47F3" w:rsidRPr="004A4D63">
        <w:rPr>
          <w:sz w:val="28"/>
          <w:szCs w:val="28"/>
        </w:rPr>
        <w:t>uch as action is routine, generally accepted, and has occurred in countless cases.</w:t>
      </w:r>
      <w:r w:rsidRPr="004A4D63">
        <w:rPr>
          <w:sz w:val="28"/>
          <w:szCs w:val="28"/>
        </w:rPr>
        <w:t xml:space="preserve"> </w:t>
      </w:r>
    </w:p>
    <w:p w14:paraId="40FD8D7A" w14:textId="0D4972A0" w:rsidR="002A41CE" w:rsidRPr="004A4D63" w:rsidRDefault="00A5240D" w:rsidP="0065383A">
      <w:pPr>
        <w:spacing w:line="480" w:lineRule="auto"/>
        <w:rPr>
          <w:sz w:val="28"/>
          <w:szCs w:val="28"/>
        </w:rPr>
      </w:pPr>
      <w:r w:rsidRPr="004A4D63">
        <w:rPr>
          <w:sz w:val="28"/>
          <w:szCs w:val="28"/>
        </w:rPr>
        <w:tab/>
      </w:r>
      <w:r w:rsidR="006F60FA" w:rsidRPr="004A4D63">
        <w:rPr>
          <w:sz w:val="28"/>
          <w:szCs w:val="28"/>
        </w:rPr>
        <w:t>By concentrating only on the SEC, Vollmer fails to deal with the systemic effect of holding that greenlighting plus adjudication is a due process violation.  Such a</w:t>
      </w:r>
      <w:r w:rsidR="008B47F3" w:rsidRPr="004A4D63">
        <w:rPr>
          <w:sz w:val="28"/>
          <w:szCs w:val="28"/>
        </w:rPr>
        <w:t xml:space="preserve"> decision would have an enormous</w:t>
      </w:r>
      <w:r w:rsidR="00B06602" w:rsidRPr="004A4D63">
        <w:rPr>
          <w:sz w:val="28"/>
          <w:szCs w:val="28"/>
        </w:rPr>
        <w:t xml:space="preserve">ly disruptive </w:t>
      </w:r>
      <w:r w:rsidR="008B47F3" w:rsidRPr="004A4D63">
        <w:rPr>
          <w:sz w:val="28"/>
          <w:szCs w:val="28"/>
        </w:rPr>
        <w:t xml:space="preserve">effect on </w:t>
      </w:r>
      <w:r w:rsidR="006F60FA" w:rsidRPr="004A4D63">
        <w:rPr>
          <w:sz w:val="28"/>
          <w:szCs w:val="28"/>
        </w:rPr>
        <w:t xml:space="preserve">the </w:t>
      </w:r>
      <w:r w:rsidR="00B06602" w:rsidRPr="004A4D63">
        <w:rPr>
          <w:sz w:val="28"/>
          <w:szCs w:val="28"/>
        </w:rPr>
        <w:t xml:space="preserve">state and federal </w:t>
      </w:r>
      <w:r w:rsidR="008B47F3" w:rsidRPr="004A4D63">
        <w:rPr>
          <w:sz w:val="28"/>
          <w:szCs w:val="28"/>
        </w:rPr>
        <w:t>administr</w:t>
      </w:r>
      <w:r w:rsidR="00B06602" w:rsidRPr="004A4D63">
        <w:rPr>
          <w:sz w:val="28"/>
          <w:szCs w:val="28"/>
        </w:rPr>
        <w:t>a</w:t>
      </w:r>
      <w:r w:rsidR="008B47F3" w:rsidRPr="004A4D63">
        <w:rPr>
          <w:sz w:val="28"/>
          <w:szCs w:val="28"/>
        </w:rPr>
        <w:t>tive process</w:t>
      </w:r>
      <w:r w:rsidR="002A41CE" w:rsidRPr="004A4D63">
        <w:rPr>
          <w:sz w:val="28"/>
          <w:szCs w:val="28"/>
        </w:rPr>
        <w:t xml:space="preserve"> because greenlighting is s</w:t>
      </w:r>
      <w:r w:rsidR="00EF50B1" w:rsidRPr="004A4D63">
        <w:rPr>
          <w:sz w:val="28"/>
          <w:szCs w:val="28"/>
        </w:rPr>
        <w:t xml:space="preserve">o common, </w:t>
      </w:r>
      <w:r w:rsidR="006F60FA" w:rsidRPr="004A4D63">
        <w:rPr>
          <w:sz w:val="28"/>
          <w:szCs w:val="28"/>
        </w:rPr>
        <w:t>particularly in licensing agencies.</w:t>
      </w:r>
      <w:r w:rsidR="007B5959" w:rsidRPr="004A4D63">
        <w:rPr>
          <w:sz w:val="28"/>
          <w:szCs w:val="28"/>
        </w:rPr>
        <w:t xml:space="preserve"> The Supreme Court is reluctant to decree due process principles that would have widespread effect of this kind.</w:t>
      </w:r>
      <w:r w:rsidR="006F60FA" w:rsidRPr="004A4D63">
        <w:rPr>
          <w:rStyle w:val="FootnoteReference"/>
          <w:sz w:val="28"/>
          <w:szCs w:val="28"/>
        </w:rPr>
        <w:footnoteReference w:id="141"/>
      </w:r>
      <w:r w:rsidR="007B5959" w:rsidRPr="004A4D63">
        <w:rPr>
          <w:sz w:val="28"/>
          <w:szCs w:val="28"/>
        </w:rPr>
        <w:t xml:space="preserve"> </w:t>
      </w:r>
      <w:r w:rsidR="006F60FA" w:rsidRPr="004A4D63">
        <w:rPr>
          <w:sz w:val="28"/>
          <w:szCs w:val="28"/>
        </w:rPr>
        <w:t xml:space="preserve"> Such a decision </w:t>
      </w:r>
      <w:r w:rsidR="002A41CE" w:rsidRPr="004A4D63">
        <w:rPr>
          <w:sz w:val="28"/>
          <w:szCs w:val="28"/>
        </w:rPr>
        <w:t xml:space="preserve">would </w:t>
      </w:r>
      <w:r w:rsidR="006F60FA" w:rsidRPr="004A4D63">
        <w:rPr>
          <w:sz w:val="28"/>
          <w:szCs w:val="28"/>
        </w:rPr>
        <w:t xml:space="preserve">also have the effect of </w:t>
      </w:r>
      <w:r w:rsidR="002A41CE" w:rsidRPr="004A4D63">
        <w:rPr>
          <w:sz w:val="28"/>
          <w:szCs w:val="28"/>
        </w:rPr>
        <w:t>hold</w:t>
      </w:r>
      <w:r w:rsidR="006F60FA" w:rsidRPr="004A4D63">
        <w:rPr>
          <w:sz w:val="28"/>
          <w:szCs w:val="28"/>
        </w:rPr>
        <w:t>ing</w:t>
      </w:r>
      <w:r w:rsidR="002A41CE" w:rsidRPr="004A4D63">
        <w:rPr>
          <w:sz w:val="28"/>
          <w:szCs w:val="28"/>
        </w:rPr>
        <w:t xml:space="preserve"> unconstitutional the “agency head” exception in section 554(d) of the APA</w:t>
      </w:r>
      <w:r w:rsidR="006F60FA" w:rsidRPr="004A4D63">
        <w:rPr>
          <w:sz w:val="28"/>
          <w:szCs w:val="28"/>
        </w:rPr>
        <w:t>,</w:t>
      </w:r>
      <w:r w:rsidR="006F60FA" w:rsidRPr="004A4D63">
        <w:rPr>
          <w:rStyle w:val="FootnoteReference"/>
          <w:sz w:val="28"/>
          <w:szCs w:val="28"/>
        </w:rPr>
        <w:footnoteReference w:id="142"/>
      </w:r>
      <w:r w:rsidR="006F60FA" w:rsidRPr="004A4D63">
        <w:rPr>
          <w:sz w:val="28"/>
          <w:szCs w:val="28"/>
        </w:rPr>
        <w:t xml:space="preserve">  a step the Supreme Court would be reluctant to take. </w:t>
      </w:r>
      <w:r w:rsidR="0029232E" w:rsidRPr="004A4D63">
        <w:rPr>
          <w:sz w:val="28"/>
          <w:szCs w:val="28"/>
        </w:rPr>
        <w:t>T</w:t>
      </w:r>
      <w:r w:rsidR="00B06602" w:rsidRPr="004A4D63">
        <w:rPr>
          <w:sz w:val="28"/>
          <w:szCs w:val="28"/>
        </w:rPr>
        <w:t xml:space="preserve">he </w:t>
      </w:r>
      <w:r w:rsidR="00B06602" w:rsidRPr="004A4D63">
        <w:rPr>
          <w:i/>
          <w:iCs/>
          <w:sz w:val="28"/>
          <w:szCs w:val="28"/>
        </w:rPr>
        <w:t>Williams</w:t>
      </w:r>
      <w:r w:rsidR="00B06602" w:rsidRPr="004A4D63">
        <w:rPr>
          <w:sz w:val="28"/>
          <w:szCs w:val="28"/>
        </w:rPr>
        <w:t xml:space="preserve"> decision does not offend the principle of necessity </w:t>
      </w:r>
      <w:r w:rsidR="006F60FA" w:rsidRPr="004A4D63">
        <w:rPr>
          <w:sz w:val="28"/>
          <w:szCs w:val="28"/>
        </w:rPr>
        <w:t xml:space="preserve">because </w:t>
      </w:r>
      <w:r w:rsidR="00B06602" w:rsidRPr="004A4D63">
        <w:rPr>
          <w:sz w:val="28"/>
          <w:szCs w:val="28"/>
        </w:rPr>
        <w:t xml:space="preserve">the Pennsylvania </w:t>
      </w:r>
      <w:r w:rsidR="00FB281E" w:rsidRPr="004A4D63">
        <w:rPr>
          <w:sz w:val="28"/>
          <w:szCs w:val="28"/>
        </w:rPr>
        <w:t>S</w:t>
      </w:r>
      <w:r w:rsidR="00B06602" w:rsidRPr="004A4D63">
        <w:rPr>
          <w:sz w:val="28"/>
          <w:szCs w:val="28"/>
        </w:rPr>
        <w:t xml:space="preserve">upreme </w:t>
      </w:r>
      <w:r w:rsidR="00FB281E" w:rsidRPr="004A4D63">
        <w:rPr>
          <w:sz w:val="28"/>
          <w:szCs w:val="28"/>
        </w:rPr>
        <w:t>C</w:t>
      </w:r>
      <w:r w:rsidR="00B06602" w:rsidRPr="004A4D63">
        <w:rPr>
          <w:sz w:val="28"/>
          <w:szCs w:val="28"/>
        </w:rPr>
        <w:t xml:space="preserve">ourt could have decided the case if </w:t>
      </w:r>
      <w:r w:rsidR="002A41CE" w:rsidRPr="004A4D63">
        <w:rPr>
          <w:sz w:val="28"/>
          <w:szCs w:val="28"/>
        </w:rPr>
        <w:t xml:space="preserve">Castille </w:t>
      </w:r>
      <w:r w:rsidR="00B06602" w:rsidRPr="004A4D63">
        <w:rPr>
          <w:sz w:val="28"/>
          <w:szCs w:val="28"/>
        </w:rPr>
        <w:t>had recused himself</w:t>
      </w:r>
      <w:r w:rsidR="006F60FA" w:rsidRPr="004A4D63">
        <w:rPr>
          <w:sz w:val="28"/>
          <w:szCs w:val="28"/>
        </w:rPr>
        <w:t xml:space="preserve">. In contrast, </w:t>
      </w:r>
      <w:r w:rsidR="00B06602" w:rsidRPr="004A4D63">
        <w:rPr>
          <w:sz w:val="28"/>
          <w:szCs w:val="28"/>
        </w:rPr>
        <w:t xml:space="preserve">a decision preventing all agency heads who had </w:t>
      </w:r>
      <w:r w:rsidR="006F60FA" w:rsidRPr="004A4D63">
        <w:rPr>
          <w:sz w:val="28"/>
          <w:szCs w:val="28"/>
        </w:rPr>
        <w:t xml:space="preserve">greenlighted </w:t>
      </w:r>
      <w:r w:rsidR="00B06602" w:rsidRPr="004A4D63">
        <w:rPr>
          <w:sz w:val="28"/>
          <w:szCs w:val="28"/>
        </w:rPr>
        <w:t xml:space="preserve">a prosecution from deciding the case would </w:t>
      </w:r>
      <w:r w:rsidR="002A41CE" w:rsidRPr="004A4D63">
        <w:rPr>
          <w:sz w:val="28"/>
          <w:szCs w:val="28"/>
        </w:rPr>
        <w:t xml:space="preserve">frequently </w:t>
      </w:r>
      <w:r w:rsidR="00B06602" w:rsidRPr="004A4D63">
        <w:rPr>
          <w:sz w:val="28"/>
          <w:szCs w:val="28"/>
        </w:rPr>
        <w:t xml:space="preserve">immobilize the agency </w:t>
      </w:r>
      <w:r w:rsidR="002A41CE" w:rsidRPr="004A4D63">
        <w:rPr>
          <w:sz w:val="28"/>
          <w:szCs w:val="28"/>
        </w:rPr>
        <w:t>for lack of a quorum, thus making it impossible to render a final decision.</w:t>
      </w:r>
      <w:r w:rsidR="00B06602" w:rsidRPr="004A4D63">
        <w:rPr>
          <w:sz w:val="28"/>
          <w:szCs w:val="28"/>
        </w:rPr>
        <w:t xml:space="preserve"> </w:t>
      </w:r>
      <w:r w:rsidRPr="004A4D63">
        <w:rPr>
          <w:sz w:val="28"/>
          <w:szCs w:val="28"/>
        </w:rPr>
        <w:t xml:space="preserve"> Thus</w:t>
      </w:r>
      <w:r w:rsidR="00D0518D" w:rsidRPr="004A4D63">
        <w:rPr>
          <w:sz w:val="28"/>
          <w:szCs w:val="28"/>
        </w:rPr>
        <w:t>,</w:t>
      </w:r>
      <w:r w:rsidRPr="004A4D63">
        <w:rPr>
          <w:sz w:val="28"/>
          <w:szCs w:val="28"/>
        </w:rPr>
        <w:t xml:space="preserve"> </w:t>
      </w:r>
      <w:r w:rsidRPr="004A4D63">
        <w:rPr>
          <w:sz w:val="28"/>
          <w:szCs w:val="28"/>
        </w:rPr>
        <w:lastRenderedPageBreak/>
        <w:t>Vollmer’s argument that greenlight</w:t>
      </w:r>
      <w:r w:rsidR="00351902" w:rsidRPr="004A4D63">
        <w:rPr>
          <w:sz w:val="28"/>
          <w:szCs w:val="28"/>
        </w:rPr>
        <w:t>ing</w:t>
      </w:r>
      <w:r w:rsidRPr="004A4D63">
        <w:rPr>
          <w:sz w:val="28"/>
          <w:szCs w:val="28"/>
        </w:rPr>
        <w:t xml:space="preserve"> </w:t>
      </w:r>
      <w:r w:rsidR="006F60FA" w:rsidRPr="004A4D63">
        <w:rPr>
          <w:sz w:val="28"/>
          <w:szCs w:val="28"/>
        </w:rPr>
        <w:t xml:space="preserve">at the SEC or elsewhere </w:t>
      </w:r>
      <w:r w:rsidRPr="004A4D63">
        <w:rPr>
          <w:sz w:val="28"/>
          <w:szCs w:val="28"/>
        </w:rPr>
        <w:t xml:space="preserve">violates due process is not persuasive. </w:t>
      </w:r>
      <w:r w:rsidR="002A41CE" w:rsidRPr="004A4D63">
        <w:rPr>
          <w:sz w:val="28"/>
          <w:szCs w:val="28"/>
        </w:rPr>
        <w:t xml:space="preserve"> </w:t>
      </w:r>
    </w:p>
    <w:p w14:paraId="03C27C9E" w14:textId="2AF25277" w:rsidR="00B06602" w:rsidRPr="004A4D63" w:rsidRDefault="002A41CE" w:rsidP="0065383A">
      <w:pPr>
        <w:spacing w:line="480" w:lineRule="auto"/>
        <w:rPr>
          <w:sz w:val="28"/>
          <w:szCs w:val="28"/>
        </w:rPr>
      </w:pPr>
      <w:r w:rsidRPr="004A4D63">
        <w:rPr>
          <w:sz w:val="28"/>
          <w:szCs w:val="28"/>
        </w:rPr>
        <w:tab/>
        <w:t>Voll</w:t>
      </w:r>
      <w:r w:rsidR="00D0518D" w:rsidRPr="004A4D63">
        <w:rPr>
          <w:sz w:val="28"/>
          <w:szCs w:val="28"/>
        </w:rPr>
        <w:t>m</w:t>
      </w:r>
      <w:r w:rsidRPr="004A4D63">
        <w:rPr>
          <w:sz w:val="28"/>
          <w:szCs w:val="28"/>
        </w:rPr>
        <w:t xml:space="preserve">er argues that to solve the due process problem, an agency member who voted to greenlight a case should be disqualified from voting on the final decision. Whether that proposal </w:t>
      </w:r>
      <w:r w:rsidR="005F577B" w:rsidRPr="004A4D63">
        <w:rPr>
          <w:sz w:val="28"/>
          <w:szCs w:val="28"/>
        </w:rPr>
        <w:t>should be adopted as a matter of policy</w:t>
      </w:r>
      <w:r w:rsidR="0091363A" w:rsidRPr="004A4D63">
        <w:rPr>
          <w:sz w:val="28"/>
          <w:szCs w:val="28"/>
        </w:rPr>
        <w:t xml:space="preserve"> </w:t>
      </w:r>
      <w:r w:rsidR="005F577B" w:rsidRPr="004A4D63">
        <w:rPr>
          <w:sz w:val="28"/>
          <w:szCs w:val="28"/>
        </w:rPr>
        <w:t>is discussed below.</w:t>
      </w:r>
      <w:r w:rsidRPr="004A4D63">
        <w:rPr>
          <w:rStyle w:val="FootnoteReference"/>
          <w:sz w:val="28"/>
          <w:szCs w:val="28"/>
        </w:rPr>
        <w:footnoteReference w:id="143"/>
      </w:r>
    </w:p>
    <w:p w14:paraId="7350A933" w14:textId="2D5272C7" w:rsidR="00F14E1B" w:rsidRPr="004A4D63" w:rsidRDefault="00F14E1B" w:rsidP="0065383A">
      <w:pPr>
        <w:spacing w:line="480" w:lineRule="auto"/>
        <w:rPr>
          <w:b/>
          <w:bCs/>
          <w:sz w:val="28"/>
          <w:szCs w:val="28"/>
        </w:rPr>
      </w:pPr>
      <w:r w:rsidRPr="004A4D63">
        <w:rPr>
          <w:b/>
          <w:bCs/>
          <w:sz w:val="28"/>
          <w:szCs w:val="28"/>
        </w:rPr>
        <w:t>B. T</w:t>
      </w:r>
      <w:r w:rsidR="001F6CF2" w:rsidRPr="004A4D63">
        <w:rPr>
          <w:b/>
          <w:bCs/>
          <w:sz w:val="28"/>
          <w:szCs w:val="28"/>
        </w:rPr>
        <w:t xml:space="preserve">HE </w:t>
      </w:r>
      <w:r w:rsidRPr="004A4D63">
        <w:rPr>
          <w:b/>
          <w:bCs/>
          <w:sz w:val="28"/>
          <w:szCs w:val="28"/>
        </w:rPr>
        <w:t>A</w:t>
      </w:r>
      <w:r w:rsidR="00DD0C36" w:rsidRPr="004A4D63">
        <w:rPr>
          <w:b/>
          <w:bCs/>
          <w:sz w:val="28"/>
          <w:szCs w:val="28"/>
        </w:rPr>
        <w:t xml:space="preserve">DMINISTRATIVE PROCEDURE ACT </w:t>
      </w:r>
      <w:r w:rsidRPr="004A4D63">
        <w:rPr>
          <w:b/>
          <w:bCs/>
          <w:sz w:val="28"/>
          <w:szCs w:val="28"/>
        </w:rPr>
        <w:t xml:space="preserve"> </w:t>
      </w:r>
      <w:r w:rsidR="00E81A67" w:rsidRPr="004A4D63">
        <w:rPr>
          <w:b/>
          <w:bCs/>
          <w:sz w:val="28"/>
          <w:szCs w:val="28"/>
        </w:rPr>
        <w:t xml:space="preserve"> </w:t>
      </w:r>
    </w:p>
    <w:p w14:paraId="35967D78" w14:textId="4F0A0413" w:rsidR="00657CC7" w:rsidRPr="004A4D63" w:rsidRDefault="00F14E1B" w:rsidP="0065383A">
      <w:pPr>
        <w:spacing w:line="480" w:lineRule="auto"/>
        <w:rPr>
          <w:sz w:val="28"/>
          <w:szCs w:val="28"/>
        </w:rPr>
      </w:pPr>
      <w:r w:rsidRPr="004A4D63">
        <w:rPr>
          <w:sz w:val="28"/>
          <w:szCs w:val="28"/>
        </w:rPr>
        <w:tab/>
        <w:t>Section 554(d) of the APA imposes a separation of functions requirement that prevents a staff member involved in investigation of a case from serving as an adjudicator in the same case (or a substantially related one) or as an adviser to the adjudicator.</w:t>
      </w:r>
      <w:r w:rsidR="0025138D" w:rsidRPr="004A4D63">
        <w:rPr>
          <w:rStyle w:val="FootnoteReference"/>
          <w:sz w:val="28"/>
          <w:szCs w:val="28"/>
        </w:rPr>
        <w:footnoteReference w:id="144"/>
      </w:r>
      <w:r w:rsidRPr="004A4D63">
        <w:rPr>
          <w:sz w:val="28"/>
          <w:szCs w:val="28"/>
        </w:rPr>
        <w:t xml:space="preserve"> However, section 554(d) does not apply “(C) to the agency or a member or members of the body comprising the agency.”  </w:t>
      </w:r>
    </w:p>
    <w:p w14:paraId="7410B10A" w14:textId="1BE05D1C" w:rsidR="00BD2B96" w:rsidRPr="004A4D63" w:rsidRDefault="00657CC7" w:rsidP="0065383A">
      <w:pPr>
        <w:spacing w:line="480" w:lineRule="auto"/>
        <w:rPr>
          <w:sz w:val="28"/>
          <w:szCs w:val="28"/>
        </w:rPr>
      </w:pPr>
      <w:r w:rsidRPr="004A4D63">
        <w:rPr>
          <w:sz w:val="28"/>
          <w:szCs w:val="28"/>
        </w:rPr>
        <w:tab/>
      </w:r>
      <w:r w:rsidR="00F14E1B" w:rsidRPr="004A4D63">
        <w:rPr>
          <w:sz w:val="28"/>
          <w:szCs w:val="28"/>
        </w:rPr>
        <w:t xml:space="preserve">This “agency head” exception </w:t>
      </w:r>
      <w:r w:rsidR="005A265A" w:rsidRPr="004A4D63">
        <w:rPr>
          <w:sz w:val="28"/>
          <w:szCs w:val="28"/>
        </w:rPr>
        <w:t>was inserted because Congress felt that application of separation of functions to the agency head would damage the agency’s ability to conduct law enforcement.</w:t>
      </w:r>
      <w:r w:rsidR="005A265A" w:rsidRPr="004A4D63">
        <w:rPr>
          <w:rStyle w:val="FootnoteReference"/>
          <w:sz w:val="28"/>
          <w:szCs w:val="28"/>
        </w:rPr>
        <w:footnoteReference w:id="145"/>
      </w:r>
      <w:r w:rsidR="005A265A" w:rsidRPr="004A4D63">
        <w:rPr>
          <w:sz w:val="28"/>
          <w:szCs w:val="28"/>
        </w:rPr>
        <w:t xml:space="preserve"> As a result, </w:t>
      </w:r>
      <w:r w:rsidR="00804F24" w:rsidRPr="004A4D63">
        <w:rPr>
          <w:sz w:val="28"/>
          <w:szCs w:val="28"/>
        </w:rPr>
        <w:t>according to a number of cases,</w:t>
      </w:r>
      <w:r w:rsidR="00935202">
        <w:rPr>
          <w:sz w:val="28"/>
          <w:szCs w:val="28"/>
        </w:rPr>
        <w:t xml:space="preserve"> the APA allows </w:t>
      </w:r>
      <w:r w:rsidR="005A265A" w:rsidRPr="004A4D63">
        <w:rPr>
          <w:sz w:val="28"/>
          <w:szCs w:val="28"/>
        </w:rPr>
        <w:t>agency head</w:t>
      </w:r>
      <w:r w:rsidR="007F0D4F" w:rsidRPr="004A4D63">
        <w:rPr>
          <w:sz w:val="28"/>
          <w:szCs w:val="28"/>
        </w:rPr>
        <w:t xml:space="preserve">s to engage in a prosecution function such as </w:t>
      </w:r>
      <w:r w:rsidR="007F0D4F" w:rsidRPr="004A4D63">
        <w:rPr>
          <w:sz w:val="28"/>
          <w:szCs w:val="28"/>
        </w:rPr>
        <w:lastRenderedPageBreak/>
        <w:t>greenlighting, then participate in the agency’s final adjudicatory decision.</w:t>
      </w:r>
      <w:r w:rsidR="007F0D4F" w:rsidRPr="004A4D63">
        <w:rPr>
          <w:rStyle w:val="FootnoteReference"/>
          <w:sz w:val="28"/>
          <w:szCs w:val="28"/>
        </w:rPr>
        <w:footnoteReference w:id="146"/>
      </w:r>
      <w:r w:rsidR="007F0D4F" w:rsidRPr="004A4D63">
        <w:rPr>
          <w:sz w:val="28"/>
          <w:szCs w:val="28"/>
        </w:rPr>
        <w:t xml:space="preserve"> </w:t>
      </w:r>
      <w:r w:rsidR="00351902" w:rsidRPr="004A4D63">
        <w:rPr>
          <w:sz w:val="28"/>
          <w:szCs w:val="28"/>
        </w:rPr>
        <w:t xml:space="preserve">The </w:t>
      </w:r>
      <w:r w:rsidR="00351902" w:rsidRPr="004A4D63">
        <w:rPr>
          <w:i/>
          <w:iCs/>
          <w:sz w:val="28"/>
          <w:szCs w:val="28"/>
        </w:rPr>
        <w:t>Withrow</w:t>
      </w:r>
      <w:r w:rsidR="00351902" w:rsidRPr="004A4D63">
        <w:rPr>
          <w:sz w:val="28"/>
          <w:szCs w:val="28"/>
        </w:rPr>
        <w:t xml:space="preserve"> decision contains a dictum </w:t>
      </w:r>
      <w:r w:rsidR="00752763" w:rsidRPr="004A4D63">
        <w:rPr>
          <w:sz w:val="28"/>
          <w:szCs w:val="28"/>
        </w:rPr>
        <w:t>confirming that the APA permits agency heads to engage in investigation and prosecution in the same case they adjudicate.</w:t>
      </w:r>
      <w:r w:rsidR="00351902" w:rsidRPr="004A4D63">
        <w:rPr>
          <w:rStyle w:val="FootnoteReference"/>
          <w:sz w:val="28"/>
          <w:szCs w:val="28"/>
        </w:rPr>
        <w:footnoteReference w:id="147"/>
      </w:r>
      <w:r w:rsidR="00F14E1B" w:rsidRPr="004A4D63">
        <w:rPr>
          <w:sz w:val="28"/>
          <w:szCs w:val="28"/>
        </w:rPr>
        <w:t xml:space="preserve"> </w:t>
      </w:r>
    </w:p>
    <w:p w14:paraId="08CAE36D" w14:textId="6BE9D4EF" w:rsidR="00B17A58" w:rsidRPr="004A4D63" w:rsidRDefault="00AF7DD6" w:rsidP="0065383A">
      <w:pPr>
        <w:spacing w:line="480" w:lineRule="auto"/>
        <w:jc w:val="center"/>
        <w:outlineLvl w:val="0"/>
        <w:rPr>
          <w:b/>
          <w:bCs/>
          <w:sz w:val="28"/>
          <w:szCs w:val="28"/>
        </w:rPr>
      </w:pPr>
      <w:r w:rsidRPr="004A4D63">
        <w:rPr>
          <w:b/>
          <w:bCs/>
          <w:sz w:val="28"/>
          <w:szCs w:val="28"/>
        </w:rPr>
        <w:t xml:space="preserve">V. </w:t>
      </w:r>
      <w:r w:rsidR="007A52F5" w:rsidRPr="004A4D63">
        <w:rPr>
          <w:b/>
          <w:bCs/>
          <w:sz w:val="28"/>
          <w:szCs w:val="28"/>
        </w:rPr>
        <w:t xml:space="preserve">ACCOUNTABILITY </w:t>
      </w:r>
      <w:r w:rsidR="00DA46A1" w:rsidRPr="004A4D63">
        <w:rPr>
          <w:b/>
          <w:bCs/>
          <w:sz w:val="28"/>
          <w:szCs w:val="28"/>
        </w:rPr>
        <w:t xml:space="preserve">MECHANISMS </w:t>
      </w:r>
      <w:r w:rsidR="007A52F5" w:rsidRPr="004A4D63">
        <w:rPr>
          <w:b/>
          <w:bCs/>
          <w:sz w:val="28"/>
          <w:szCs w:val="28"/>
        </w:rPr>
        <w:t xml:space="preserve">AND GREENLIGHTING </w:t>
      </w:r>
    </w:p>
    <w:p w14:paraId="41B5112B" w14:textId="058C146B" w:rsidR="00112A29" w:rsidRPr="004A4D63" w:rsidRDefault="0006125F" w:rsidP="0065383A">
      <w:pPr>
        <w:spacing w:line="480" w:lineRule="auto"/>
        <w:rPr>
          <w:sz w:val="28"/>
          <w:szCs w:val="28"/>
        </w:rPr>
      </w:pPr>
      <w:r w:rsidRPr="004A4D63">
        <w:rPr>
          <w:sz w:val="28"/>
          <w:szCs w:val="28"/>
        </w:rPr>
        <w:tab/>
      </w:r>
      <w:r w:rsidR="001F67F0" w:rsidRPr="004A4D63">
        <w:rPr>
          <w:sz w:val="28"/>
          <w:szCs w:val="28"/>
        </w:rPr>
        <w:t xml:space="preserve">Part III of this </w:t>
      </w:r>
      <w:r w:rsidRPr="004A4D63">
        <w:rPr>
          <w:sz w:val="28"/>
          <w:szCs w:val="28"/>
        </w:rPr>
        <w:t xml:space="preserve">paper discussed  the fundamental rationale for </w:t>
      </w:r>
      <w:r w:rsidR="001F6CF2" w:rsidRPr="004A4D63">
        <w:rPr>
          <w:sz w:val="28"/>
          <w:szCs w:val="28"/>
        </w:rPr>
        <w:t>the greenlighting function. A</w:t>
      </w:r>
      <w:r w:rsidRPr="004A4D63">
        <w:rPr>
          <w:sz w:val="28"/>
          <w:szCs w:val="28"/>
        </w:rPr>
        <w:t>gency head review of charging decision</w:t>
      </w:r>
      <w:r w:rsidR="001F6CF2" w:rsidRPr="004A4D63">
        <w:rPr>
          <w:sz w:val="28"/>
          <w:szCs w:val="28"/>
        </w:rPr>
        <w:t xml:space="preserve"> serves </w:t>
      </w:r>
      <w:r w:rsidRPr="004A4D63">
        <w:rPr>
          <w:sz w:val="28"/>
          <w:szCs w:val="28"/>
        </w:rPr>
        <w:t xml:space="preserve">as an accountability mechanism that </w:t>
      </w:r>
      <w:r w:rsidR="001F6CF2" w:rsidRPr="004A4D63">
        <w:rPr>
          <w:sz w:val="28"/>
          <w:szCs w:val="28"/>
        </w:rPr>
        <w:t>promotes public administration values</w:t>
      </w:r>
      <w:r w:rsidR="00B52E5B" w:rsidRPr="004A4D63">
        <w:rPr>
          <w:sz w:val="28"/>
          <w:szCs w:val="28"/>
        </w:rPr>
        <w:t xml:space="preserve"> and </w:t>
      </w:r>
      <w:r w:rsidR="001F6CF2" w:rsidRPr="004A4D63">
        <w:rPr>
          <w:sz w:val="28"/>
          <w:szCs w:val="28"/>
        </w:rPr>
        <w:t xml:space="preserve">helps to </w:t>
      </w:r>
      <w:r w:rsidR="00B52E5B" w:rsidRPr="004A4D63">
        <w:rPr>
          <w:sz w:val="28"/>
          <w:szCs w:val="28"/>
        </w:rPr>
        <w:t>correct principal-agent misalignments</w:t>
      </w:r>
      <w:r w:rsidRPr="004A4D63">
        <w:rPr>
          <w:sz w:val="28"/>
          <w:szCs w:val="28"/>
        </w:rPr>
        <w:t xml:space="preserve">.  </w:t>
      </w:r>
      <w:r w:rsidR="00594FAD" w:rsidRPr="004A4D63">
        <w:rPr>
          <w:sz w:val="28"/>
          <w:szCs w:val="28"/>
        </w:rPr>
        <w:t xml:space="preserve">Nevertheless, Part III acknowledged concerns about </w:t>
      </w:r>
      <w:r w:rsidR="001F6CF2" w:rsidRPr="004A4D63">
        <w:rPr>
          <w:sz w:val="28"/>
          <w:szCs w:val="28"/>
        </w:rPr>
        <w:t xml:space="preserve">greenlighting because of possible </w:t>
      </w:r>
      <w:r w:rsidR="00594FAD" w:rsidRPr="004A4D63">
        <w:rPr>
          <w:sz w:val="28"/>
          <w:szCs w:val="28"/>
        </w:rPr>
        <w:t>confirmation bias and efficiency</w:t>
      </w:r>
      <w:r w:rsidR="00304FB2" w:rsidRPr="004A4D63">
        <w:rPr>
          <w:sz w:val="28"/>
          <w:szCs w:val="28"/>
        </w:rPr>
        <w:t xml:space="preserve"> issues</w:t>
      </w:r>
      <w:r w:rsidR="00594FAD" w:rsidRPr="004A4D63">
        <w:rPr>
          <w:sz w:val="28"/>
          <w:szCs w:val="28"/>
        </w:rPr>
        <w:t xml:space="preserve">. </w:t>
      </w:r>
      <w:r w:rsidRPr="004A4D63">
        <w:rPr>
          <w:sz w:val="28"/>
          <w:szCs w:val="28"/>
        </w:rPr>
        <w:t xml:space="preserve">This section discusses </w:t>
      </w:r>
      <w:r w:rsidR="00782861" w:rsidRPr="004A4D63">
        <w:rPr>
          <w:sz w:val="28"/>
          <w:szCs w:val="28"/>
        </w:rPr>
        <w:t xml:space="preserve">accountability mechanisms that might be employed in connection with the greenlighting process and that </w:t>
      </w:r>
      <w:r w:rsidR="00E049EB" w:rsidRPr="004A4D63">
        <w:rPr>
          <w:sz w:val="28"/>
          <w:szCs w:val="28"/>
        </w:rPr>
        <w:t xml:space="preserve">might alleviate </w:t>
      </w:r>
      <w:r w:rsidR="00594FAD" w:rsidRPr="004A4D63">
        <w:rPr>
          <w:sz w:val="28"/>
          <w:szCs w:val="28"/>
        </w:rPr>
        <w:t xml:space="preserve">these </w:t>
      </w:r>
      <w:r w:rsidR="00594FAD" w:rsidRPr="004A4D63">
        <w:rPr>
          <w:sz w:val="28"/>
          <w:szCs w:val="28"/>
        </w:rPr>
        <w:lastRenderedPageBreak/>
        <w:t>concerns</w:t>
      </w:r>
      <w:r w:rsidR="00E049EB" w:rsidRPr="004A4D63">
        <w:rPr>
          <w:sz w:val="28"/>
          <w:szCs w:val="28"/>
        </w:rPr>
        <w:t xml:space="preserve">. These mechanisms </w:t>
      </w:r>
      <w:r w:rsidR="00594FAD" w:rsidRPr="004A4D63">
        <w:rPr>
          <w:sz w:val="28"/>
          <w:szCs w:val="28"/>
        </w:rPr>
        <w:t xml:space="preserve">exist in some agencies or have been suggested in the literature. </w:t>
      </w:r>
      <w:r w:rsidR="00E049EB" w:rsidRPr="004A4D63">
        <w:rPr>
          <w:sz w:val="28"/>
          <w:szCs w:val="28"/>
        </w:rPr>
        <w:t>There are</w:t>
      </w:r>
      <w:r w:rsidR="003D3786" w:rsidRPr="004A4D63">
        <w:rPr>
          <w:sz w:val="28"/>
          <w:szCs w:val="28"/>
        </w:rPr>
        <w:t xml:space="preserve">, </w:t>
      </w:r>
      <w:r w:rsidR="00304FB2" w:rsidRPr="004A4D63">
        <w:rPr>
          <w:sz w:val="28"/>
          <w:szCs w:val="28"/>
        </w:rPr>
        <w:t xml:space="preserve">of course, </w:t>
      </w:r>
      <w:r w:rsidR="003D3786" w:rsidRPr="004A4D63">
        <w:rPr>
          <w:sz w:val="28"/>
          <w:szCs w:val="28"/>
        </w:rPr>
        <w:t xml:space="preserve">structural </w:t>
      </w:r>
      <w:r w:rsidR="00E049EB" w:rsidRPr="004A4D63">
        <w:rPr>
          <w:sz w:val="28"/>
          <w:szCs w:val="28"/>
        </w:rPr>
        <w:t xml:space="preserve">changes </w:t>
      </w:r>
      <w:r w:rsidR="00935202" w:rsidRPr="004A4D63">
        <w:rPr>
          <w:sz w:val="28"/>
          <w:szCs w:val="28"/>
        </w:rPr>
        <w:t>that would address these concerns,</w:t>
      </w:r>
      <w:r w:rsidR="00935202">
        <w:rPr>
          <w:sz w:val="28"/>
          <w:szCs w:val="28"/>
        </w:rPr>
        <w:t xml:space="preserve"> </w:t>
      </w:r>
      <w:r w:rsidR="003D3786" w:rsidRPr="004A4D63">
        <w:rPr>
          <w:sz w:val="28"/>
          <w:szCs w:val="28"/>
        </w:rPr>
        <w:t>such as eliminating combined-function agencies</w:t>
      </w:r>
      <w:r w:rsidR="00935202">
        <w:rPr>
          <w:sz w:val="28"/>
          <w:szCs w:val="28"/>
        </w:rPr>
        <w:t>,</w:t>
      </w:r>
      <w:r w:rsidR="003D3786" w:rsidRPr="004A4D63">
        <w:rPr>
          <w:sz w:val="28"/>
          <w:szCs w:val="28"/>
        </w:rPr>
        <w:t xml:space="preserve"> </w:t>
      </w:r>
      <w:r w:rsidR="00E049EB" w:rsidRPr="004A4D63">
        <w:rPr>
          <w:sz w:val="28"/>
          <w:szCs w:val="28"/>
        </w:rPr>
        <w:t xml:space="preserve">but </w:t>
      </w:r>
      <w:r w:rsidR="00304FB2" w:rsidRPr="004A4D63">
        <w:rPr>
          <w:sz w:val="28"/>
          <w:szCs w:val="28"/>
        </w:rPr>
        <w:t xml:space="preserve">such </w:t>
      </w:r>
      <w:r w:rsidR="003D3786" w:rsidRPr="004A4D63">
        <w:rPr>
          <w:sz w:val="28"/>
          <w:szCs w:val="28"/>
        </w:rPr>
        <w:t xml:space="preserve">options </w:t>
      </w:r>
      <w:r w:rsidR="00E049EB" w:rsidRPr="004A4D63">
        <w:rPr>
          <w:sz w:val="28"/>
          <w:szCs w:val="28"/>
        </w:rPr>
        <w:t xml:space="preserve">are </w:t>
      </w:r>
      <w:r w:rsidR="003D3786" w:rsidRPr="004A4D63">
        <w:rPr>
          <w:sz w:val="28"/>
          <w:szCs w:val="28"/>
        </w:rPr>
        <w:t xml:space="preserve">beyond </w:t>
      </w:r>
      <w:r w:rsidR="00E049EB" w:rsidRPr="004A4D63">
        <w:rPr>
          <w:sz w:val="28"/>
          <w:szCs w:val="28"/>
        </w:rPr>
        <w:t xml:space="preserve">the scope of this </w:t>
      </w:r>
      <w:r w:rsidR="00816D61" w:rsidRPr="004A4D63">
        <w:rPr>
          <w:sz w:val="28"/>
          <w:szCs w:val="28"/>
        </w:rPr>
        <w:t>article.</w:t>
      </w:r>
      <w:r w:rsidR="00E049EB" w:rsidRPr="004A4D63">
        <w:rPr>
          <w:rStyle w:val="FootnoteReference"/>
          <w:sz w:val="28"/>
          <w:szCs w:val="28"/>
        </w:rPr>
        <w:footnoteReference w:id="148"/>
      </w:r>
      <w:r w:rsidR="00E049EB" w:rsidRPr="004A4D63">
        <w:rPr>
          <w:sz w:val="28"/>
          <w:szCs w:val="28"/>
        </w:rPr>
        <w:t xml:space="preserve"> </w:t>
      </w:r>
      <w:r w:rsidRPr="004A4D63">
        <w:rPr>
          <w:sz w:val="28"/>
          <w:szCs w:val="28"/>
        </w:rPr>
        <w:t xml:space="preserve"> </w:t>
      </w:r>
    </w:p>
    <w:p w14:paraId="0F58E81F" w14:textId="45127E60" w:rsidR="00112A29" w:rsidRPr="004A4D63" w:rsidRDefault="0006125F" w:rsidP="0065383A">
      <w:pPr>
        <w:spacing w:line="480" w:lineRule="auto"/>
        <w:rPr>
          <w:b/>
          <w:bCs/>
          <w:sz w:val="28"/>
          <w:szCs w:val="28"/>
        </w:rPr>
      </w:pPr>
      <w:r w:rsidRPr="004A4D63">
        <w:rPr>
          <w:b/>
          <w:bCs/>
          <w:sz w:val="28"/>
          <w:szCs w:val="28"/>
        </w:rPr>
        <w:t xml:space="preserve">A. </w:t>
      </w:r>
      <w:r w:rsidR="00806068" w:rsidRPr="004A4D63">
        <w:rPr>
          <w:b/>
          <w:bCs/>
          <w:sz w:val="28"/>
          <w:szCs w:val="28"/>
        </w:rPr>
        <w:t xml:space="preserve">MECHANISMS THAT </w:t>
      </w:r>
      <w:r w:rsidR="0073256E" w:rsidRPr="004A4D63">
        <w:rPr>
          <w:b/>
          <w:bCs/>
          <w:sz w:val="28"/>
          <w:szCs w:val="28"/>
        </w:rPr>
        <w:t>ALLOW TARGETS INPUT INTO CHARGING DECISION</w:t>
      </w:r>
    </w:p>
    <w:p w14:paraId="6A07622D" w14:textId="74A450C9" w:rsidR="00CB118A" w:rsidRPr="004A4D63" w:rsidRDefault="0006125F" w:rsidP="0065383A">
      <w:pPr>
        <w:spacing w:line="480" w:lineRule="auto"/>
        <w:rPr>
          <w:sz w:val="28"/>
          <w:szCs w:val="28"/>
        </w:rPr>
      </w:pPr>
      <w:r w:rsidRPr="004A4D63">
        <w:rPr>
          <w:sz w:val="28"/>
          <w:szCs w:val="28"/>
        </w:rPr>
        <w:tab/>
      </w:r>
      <w:r w:rsidR="00073EC3" w:rsidRPr="004A4D63">
        <w:rPr>
          <w:sz w:val="28"/>
          <w:szCs w:val="28"/>
        </w:rPr>
        <w:t xml:space="preserve">As discussed </w:t>
      </w:r>
      <w:r w:rsidR="00217170" w:rsidRPr="004A4D63">
        <w:rPr>
          <w:sz w:val="28"/>
          <w:szCs w:val="28"/>
        </w:rPr>
        <w:t>in Part II, the SEC</w:t>
      </w:r>
      <w:r w:rsidR="0039067B" w:rsidRPr="004A4D63">
        <w:rPr>
          <w:sz w:val="28"/>
          <w:szCs w:val="28"/>
        </w:rPr>
        <w:t>,</w:t>
      </w:r>
      <w:r w:rsidR="00217170" w:rsidRPr="004A4D63">
        <w:rPr>
          <w:sz w:val="28"/>
          <w:szCs w:val="28"/>
        </w:rPr>
        <w:t xml:space="preserve"> </w:t>
      </w:r>
      <w:r w:rsidR="00076C6E" w:rsidRPr="004A4D63">
        <w:rPr>
          <w:sz w:val="28"/>
          <w:szCs w:val="28"/>
        </w:rPr>
        <w:t xml:space="preserve">FTC,  </w:t>
      </w:r>
      <w:r w:rsidR="00217170" w:rsidRPr="004A4D63">
        <w:rPr>
          <w:sz w:val="28"/>
          <w:szCs w:val="28"/>
        </w:rPr>
        <w:t>FERC</w:t>
      </w:r>
      <w:r w:rsidR="0039067B" w:rsidRPr="004A4D63">
        <w:rPr>
          <w:sz w:val="28"/>
          <w:szCs w:val="28"/>
        </w:rPr>
        <w:t xml:space="preserve">, and NLRB </w:t>
      </w:r>
      <w:r w:rsidR="00305793" w:rsidRPr="004A4D63">
        <w:rPr>
          <w:sz w:val="28"/>
          <w:szCs w:val="28"/>
        </w:rPr>
        <w:t xml:space="preserve">employ </w:t>
      </w:r>
      <w:r w:rsidR="00E10FEB" w:rsidRPr="004A4D63">
        <w:rPr>
          <w:sz w:val="28"/>
          <w:szCs w:val="28"/>
        </w:rPr>
        <w:t xml:space="preserve">pre-charging </w:t>
      </w:r>
      <w:r w:rsidR="001730E8" w:rsidRPr="004A4D63">
        <w:rPr>
          <w:sz w:val="28"/>
          <w:szCs w:val="28"/>
        </w:rPr>
        <w:t xml:space="preserve">notice and </w:t>
      </w:r>
      <w:r w:rsidR="005719BB" w:rsidRPr="004A4D63">
        <w:rPr>
          <w:sz w:val="28"/>
          <w:szCs w:val="28"/>
        </w:rPr>
        <w:t xml:space="preserve">comment </w:t>
      </w:r>
      <w:r w:rsidR="00217170" w:rsidRPr="004A4D63">
        <w:rPr>
          <w:sz w:val="28"/>
          <w:szCs w:val="28"/>
        </w:rPr>
        <w:t>procedures</w:t>
      </w:r>
      <w:r w:rsidR="00E10FEB" w:rsidRPr="004A4D63">
        <w:rPr>
          <w:sz w:val="28"/>
          <w:szCs w:val="28"/>
        </w:rPr>
        <w:t>.</w:t>
      </w:r>
      <w:r w:rsidR="00A370FE" w:rsidRPr="004A4D63">
        <w:rPr>
          <w:rStyle w:val="FootnoteReference"/>
          <w:sz w:val="28"/>
          <w:szCs w:val="28"/>
        </w:rPr>
        <w:footnoteReference w:id="149"/>
      </w:r>
      <w:r w:rsidR="00E10FEB" w:rsidRPr="004A4D63">
        <w:rPr>
          <w:sz w:val="28"/>
          <w:szCs w:val="28"/>
        </w:rPr>
        <w:t xml:space="preserve"> These </w:t>
      </w:r>
      <w:r w:rsidR="00806068" w:rsidRPr="004A4D63">
        <w:rPr>
          <w:sz w:val="28"/>
          <w:szCs w:val="28"/>
        </w:rPr>
        <w:t xml:space="preserve">formalized </w:t>
      </w:r>
      <w:r w:rsidR="00E10FEB" w:rsidRPr="004A4D63">
        <w:rPr>
          <w:sz w:val="28"/>
          <w:szCs w:val="28"/>
        </w:rPr>
        <w:t xml:space="preserve">procedures invite targets to submit memoranda designed to </w:t>
      </w:r>
      <w:r w:rsidR="00A52BC4" w:rsidRPr="004A4D63">
        <w:rPr>
          <w:sz w:val="28"/>
          <w:szCs w:val="28"/>
        </w:rPr>
        <w:t xml:space="preserve">dissuade </w:t>
      </w:r>
      <w:r w:rsidR="00E10FEB" w:rsidRPr="004A4D63">
        <w:rPr>
          <w:sz w:val="28"/>
          <w:szCs w:val="28"/>
        </w:rPr>
        <w:t xml:space="preserve">the staff </w:t>
      </w:r>
      <w:r w:rsidR="00A52BC4" w:rsidRPr="004A4D63">
        <w:rPr>
          <w:sz w:val="28"/>
          <w:szCs w:val="28"/>
        </w:rPr>
        <w:t xml:space="preserve">from charging </w:t>
      </w:r>
      <w:r w:rsidR="00E10FEB" w:rsidRPr="004A4D63">
        <w:rPr>
          <w:sz w:val="28"/>
          <w:szCs w:val="28"/>
        </w:rPr>
        <w:t>the</w:t>
      </w:r>
      <w:r w:rsidR="00806068" w:rsidRPr="004A4D63">
        <w:rPr>
          <w:sz w:val="28"/>
          <w:szCs w:val="28"/>
        </w:rPr>
        <w:t>m</w:t>
      </w:r>
      <w:r w:rsidR="00076C6E" w:rsidRPr="004A4D63">
        <w:rPr>
          <w:sz w:val="28"/>
          <w:szCs w:val="28"/>
        </w:rPr>
        <w:t xml:space="preserve"> and </w:t>
      </w:r>
      <w:r w:rsidR="00CB780F" w:rsidRPr="004A4D63">
        <w:rPr>
          <w:sz w:val="28"/>
          <w:szCs w:val="28"/>
        </w:rPr>
        <w:t xml:space="preserve">supplement </w:t>
      </w:r>
      <w:r w:rsidR="00076C6E" w:rsidRPr="004A4D63">
        <w:rPr>
          <w:sz w:val="28"/>
          <w:szCs w:val="28"/>
        </w:rPr>
        <w:t xml:space="preserve">the </w:t>
      </w:r>
      <w:r w:rsidR="00CB118A" w:rsidRPr="004A4D63">
        <w:rPr>
          <w:sz w:val="28"/>
          <w:szCs w:val="28"/>
        </w:rPr>
        <w:t xml:space="preserve">informal interchange between the target’s attorneys and agency enforcement staff </w:t>
      </w:r>
      <w:r w:rsidR="00806068" w:rsidRPr="004A4D63">
        <w:rPr>
          <w:sz w:val="28"/>
          <w:szCs w:val="28"/>
        </w:rPr>
        <w:t xml:space="preserve">that </w:t>
      </w:r>
      <w:r w:rsidR="00CB780F" w:rsidRPr="004A4D63">
        <w:rPr>
          <w:sz w:val="28"/>
          <w:szCs w:val="28"/>
        </w:rPr>
        <w:t xml:space="preserve">routinely </w:t>
      </w:r>
      <w:r w:rsidR="00806068" w:rsidRPr="004A4D63">
        <w:rPr>
          <w:sz w:val="28"/>
          <w:szCs w:val="28"/>
        </w:rPr>
        <w:t>occur</w:t>
      </w:r>
      <w:r w:rsidR="00076C6E" w:rsidRPr="004A4D63">
        <w:rPr>
          <w:sz w:val="28"/>
          <w:szCs w:val="28"/>
        </w:rPr>
        <w:t>s</w:t>
      </w:r>
      <w:r w:rsidR="00806068" w:rsidRPr="004A4D63">
        <w:rPr>
          <w:sz w:val="28"/>
          <w:szCs w:val="28"/>
        </w:rPr>
        <w:t xml:space="preserve"> </w:t>
      </w:r>
      <w:r w:rsidR="00CB118A" w:rsidRPr="004A4D63">
        <w:rPr>
          <w:sz w:val="28"/>
          <w:szCs w:val="28"/>
        </w:rPr>
        <w:t xml:space="preserve">during the investigation process. </w:t>
      </w:r>
    </w:p>
    <w:p w14:paraId="577E979C" w14:textId="788126BB" w:rsidR="005719BB" w:rsidRPr="004A4D63" w:rsidRDefault="00E10FEB" w:rsidP="0065383A">
      <w:pPr>
        <w:spacing w:line="480" w:lineRule="auto"/>
        <w:rPr>
          <w:sz w:val="28"/>
          <w:szCs w:val="28"/>
        </w:rPr>
      </w:pPr>
      <w:r w:rsidRPr="004A4D63">
        <w:rPr>
          <w:sz w:val="28"/>
          <w:szCs w:val="28"/>
        </w:rPr>
        <w:tab/>
      </w:r>
      <w:r w:rsidR="00217170" w:rsidRPr="004A4D63">
        <w:rPr>
          <w:sz w:val="28"/>
          <w:szCs w:val="28"/>
        </w:rPr>
        <w:t>W</w:t>
      </w:r>
      <w:r w:rsidR="0006125F" w:rsidRPr="004A4D63">
        <w:rPr>
          <w:sz w:val="28"/>
          <w:szCs w:val="28"/>
        </w:rPr>
        <w:t xml:space="preserve">hen the SEC staff </w:t>
      </w:r>
      <w:r w:rsidR="00365938" w:rsidRPr="004A4D63">
        <w:rPr>
          <w:sz w:val="28"/>
          <w:szCs w:val="28"/>
        </w:rPr>
        <w:t xml:space="preserve">tentatively </w:t>
      </w:r>
      <w:r w:rsidR="0006125F" w:rsidRPr="004A4D63">
        <w:rPr>
          <w:sz w:val="28"/>
          <w:szCs w:val="28"/>
        </w:rPr>
        <w:t>decides that a complaint should issue</w:t>
      </w:r>
      <w:r w:rsidR="005A423E" w:rsidRPr="004A4D63">
        <w:rPr>
          <w:sz w:val="28"/>
          <w:szCs w:val="28"/>
        </w:rPr>
        <w:t xml:space="preserve"> or that the</w:t>
      </w:r>
      <w:r w:rsidR="00CB780F" w:rsidRPr="004A4D63">
        <w:rPr>
          <w:sz w:val="28"/>
          <w:szCs w:val="28"/>
        </w:rPr>
        <w:t xml:space="preserve"> agency </w:t>
      </w:r>
      <w:r w:rsidR="005C2642" w:rsidRPr="004A4D63">
        <w:rPr>
          <w:sz w:val="28"/>
          <w:szCs w:val="28"/>
        </w:rPr>
        <w:t xml:space="preserve">should </w:t>
      </w:r>
      <w:r w:rsidR="005A423E" w:rsidRPr="004A4D63">
        <w:rPr>
          <w:sz w:val="28"/>
          <w:szCs w:val="28"/>
        </w:rPr>
        <w:t xml:space="preserve">seek </w:t>
      </w:r>
      <w:r w:rsidR="00CB780F" w:rsidRPr="004A4D63">
        <w:rPr>
          <w:sz w:val="28"/>
          <w:szCs w:val="28"/>
        </w:rPr>
        <w:t xml:space="preserve">judicial </w:t>
      </w:r>
      <w:r w:rsidR="005A423E" w:rsidRPr="004A4D63">
        <w:rPr>
          <w:sz w:val="28"/>
          <w:szCs w:val="28"/>
        </w:rPr>
        <w:t>enforcement</w:t>
      </w:r>
      <w:r w:rsidR="00CB780F" w:rsidRPr="004A4D63">
        <w:rPr>
          <w:sz w:val="28"/>
          <w:szCs w:val="28"/>
        </w:rPr>
        <w:t xml:space="preserve">, </w:t>
      </w:r>
      <w:r w:rsidR="00365938" w:rsidRPr="004A4D63">
        <w:rPr>
          <w:sz w:val="28"/>
          <w:szCs w:val="28"/>
        </w:rPr>
        <w:t xml:space="preserve">it </w:t>
      </w:r>
      <w:r w:rsidR="0006125F" w:rsidRPr="004A4D63">
        <w:rPr>
          <w:sz w:val="28"/>
          <w:szCs w:val="28"/>
        </w:rPr>
        <w:t>form</w:t>
      </w:r>
      <w:r w:rsidR="00582713" w:rsidRPr="004A4D63">
        <w:rPr>
          <w:sz w:val="28"/>
          <w:szCs w:val="28"/>
        </w:rPr>
        <w:t>ulate</w:t>
      </w:r>
      <w:r w:rsidR="005A423E" w:rsidRPr="004A4D63">
        <w:rPr>
          <w:sz w:val="28"/>
          <w:szCs w:val="28"/>
        </w:rPr>
        <w:t>s</w:t>
      </w:r>
      <w:r w:rsidR="00582713" w:rsidRPr="004A4D63">
        <w:rPr>
          <w:sz w:val="28"/>
          <w:szCs w:val="28"/>
        </w:rPr>
        <w:t xml:space="preserve"> </w:t>
      </w:r>
      <w:r w:rsidR="0006125F" w:rsidRPr="004A4D63">
        <w:rPr>
          <w:sz w:val="28"/>
          <w:szCs w:val="28"/>
        </w:rPr>
        <w:t xml:space="preserve">a memorandum to the target </w:t>
      </w:r>
      <w:r w:rsidR="005A423E" w:rsidRPr="004A4D63">
        <w:rPr>
          <w:sz w:val="28"/>
          <w:szCs w:val="28"/>
        </w:rPr>
        <w:t xml:space="preserve">(the “Wells notice”) </w:t>
      </w:r>
      <w:r w:rsidR="0006125F" w:rsidRPr="004A4D63">
        <w:rPr>
          <w:sz w:val="28"/>
          <w:szCs w:val="28"/>
        </w:rPr>
        <w:t xml:space="preserve">that summarizes the factual and legal predicates for the complaint </w:t>
      </w:r>
      <w:r w:rsidR="00217170" w:rsidRPr="004A4D63">
        <w:rPr>
          <w:sz w:val="28"/>
          <w:szCs w:val="28"/>
        </w:rPr>
        <w:t xml:space="preserve">and may (but need not) disclose investigative material from the agency’s file. </w:t>
      </w:r>
      <w:r w:rsidR="0006125F" w:rsidRPr="004A4D63">
        <w:rPr>
          <w:sz w:val="28"/>
          <w:szCs w:val="28"/>
        </w:rPr>
        <w:t xml:space="preserve">The target is then entitled to submit a written rebuttal </w:t>
      </w:r>
      <w:r w:rsidR="005A423E" w:rsidRPr="004A4D63">
        <w:rPr>
          <w:sz w:val="28"/>
          <w:szCs w:val="28"/>
        </w:rPr>
        <w:t xml:space="preserve">(the “Wells response”). </w:t>
      </w:r>
      <w:r w:rsidR="0006125F" w:rsidRPr="004A4D63">
        <w:rPr>
          <w:sz w:val="28"/>
          <w:szCs w:val="28"/>
        </w:rPr>
        <w:t xml:space="preserve">That response is designed both to dissuade the staff </w:t>
      </w:r>
      <w:r w:rsidR="005A423E" w:rsidRPr="004A4D63">
        <w:rPr>
          <w:sz w:val="28"/>
          <w:szCs w:val="28"/>
        </w:rPr>
        <w:t xml:space="preserve">from seeking </w:t>
      </w:r>
      <w:r w:rsidR="00A52BC4" w:rsidRPr="004A4D63">
        <w:rPr>
          <w:sz w:val="28"/>
          <w:szCs w:val="28"/>
        </w:rPr>
        <w:t xml:space="preserve">a </w:t>
      </w:r>
      <w:r w:rsidR="005A423E" w:rsidRPr="004A4D63">
        <w:rPr>
          <w:sz w:val="28"/>
          <w:szCs w:val="28"/>
        </w:rPr>
        <w:t xml:space="preserve">Commission </w:t>
      </w:r>
      <w:r w:rsidR="00A52BC4" w:rsidRPr="004A4D63">
        <w:rPr>
          <w:sz w:val="28"/>
          <w:szCs w:val="28"/>
        </w:rPr>
        <w:lastRenderedPageBreak/>
        <w:t xml:space="preserve">greenlight </w:t>
      </w:r>
      <w:r w:rsidR="0006125F" w:rsidRPr="004A4D63">
        <w:rPr>
          <w:sz w:val="28"/>
          <w:szCs w:val="28"/>
        </w:rPr>
        <w:t>and to in</w:t>
      </w:r>
      <w:r w:rsidR="00582713" w:rsidRPr="004A4D63">
        <w:rPr>
          <w:sz w:val="28"/>
          <w:szCs w:val="28"/>
        </w:rPr>
        <w:t xml:space="preserve">fluence </w:t>
      </w:r>
      <w:r w:rsidR="0006125F" w:rsidRPr="004A4D63">
        <w:rPr>
          <w:sz w:val="28"/>
          <w:szCs w:val="28"/>
        </w:rPr>
        <w:t xml:space="preserve">the </w:t>
      </w:r>
      <w:r w:rsidR="00217170" w:rsidRPr="004A4D63">
        <w:rPr>
          <w:sz w:val="28"/>
          <w:szCs w:val="28"/>
        </w:rPr>
        <w:t xml:space="preserve">agency heads </w:t>
      </w:r>
      <w:r w:rsidR="00A52BC4" w:rsidRPr="004A4D63">
        <w:rPr>
          <w:sz w:val="28"/>
          <w:szCs w:val="28"/>
        </w:rPr>
        <w:t xml:space="preserve">not </w:t>
      </w:r>
      <w:r w:rsidRPr="004A4D63">
        <w:rPr>
          <w:sz w:val="28"/>
          <w:szCs w:val="28"/>
        </w:rPr>
        <w:t xml:space="preserve">to greenlight the </w:t>
      </w:r>
      <w:r w:rsidR="00A52BC4" w:rsidRPr="004A4D63">
        <w:rPr>
          <w:sz w:val="28"/>
          <w:szCs w:val="28"/>
        </w:rPr>
        <w:t xml:space="preserve">complaint </w:t>
      </w:r>
      <w:r w:rsidR="0006125F" w:rsidRPr="004A4D63">
        <w:rPr>
          <w:sz w:val="28"/>
          <w:szCs w:val="28"/>
        </w:rPr>
        <w:t xml:space="preserve">if the staff </w:t>
      </w:r>
      <w:r w:rsidR="005A423E" w:rsidRPr="004A4D63">
        <w:rPr>
          <w:sz w:val="28"/>
          <w:szCs w:val="28"/>
        </w:rPr>
        <w:t xml:space="preserve">persists. </w:t>
      </w:r>
      <w:r w:rsidRPr="004A4D63">
        <w:rPr>
          <w:sz w:val="28"/>
          <w:szCs w:val="28"/>
        </w:rPr>
        <w:t xml:space="preserve">A strong Wells </w:t>
      </w:r>
      <w:r w:rsidR="00015CBB" w:rsidRPr="004A4D63">
        <w:rPr>
          <w:sz w:val="28"/>
          <w:szCs w:val="28"/>
        </w:rPr>
        <w:t xml:space="preserve">response is also a strategic tool </w:t>
      </w:r>
      <w:r w:rsidR="00CB780F" w:rsidRPr="004A4D63">
        <w:rPr>
          <w:sz w:val="28"/>
          <w:szCs w:val="28"/>
        </w:rPr>
        <w:t>used by target lawyers to strengthen their position in settlement negotiations</w:t>
      </w:r>
      <w:r w:rsidR="00015CBB" w:rsidRPr="004A4D63">
        <w:rPr>
          <w:sz w:val="28"/>
          <w:szCs w:val="28"/>
        </w:rPr>
        <w:t>.</w:t>
      </w:r>
      <w:r w:rsidR="00073EC3" w:rsidRPr="004A4D63">
        <w:rPr>
          <w:rStyle w:val="FootnoteReference"/>
          <w:sz w:val="28"/>
          <w:szCs w:val="28"/>
        </w:rPr>
        <w:footnoteReference w:id="150"/>
      </w:r>
      <w:r w:rsidR="00AF7DD6" w:rsidRPr="004A4D63">
        <w:rPr>
          <w:sz w:val="28"/>
          <w:szCs w:val="28"/>
        </w:rPr>
        <w:t xml:space="preserve"> </w:t>
      </w:r>
    </w:p>
    <w:p w14:paraId="493F02EF" w14:textId="2FE461F5" w:rsidR="005719BB" w:rsidRPr="004A4D63" w:rsidRDefault="00C010C1" w:rsidP="0065383A">
      <w:pPr>
        <w:spacing w:line="480" w:lineRule="auto"/>
        <w:rPr>
          <w:sz w:val="28"/>
          <w:szCs w:val="28"/>
        </w:rPr>
      </w:pPr>
      <w:r w:rsidRPr="004A4D63">
        <w:rPr>
          <w:sz w:val="28"/>
          <w:szCs w:val="28"/>
        </w:rPr>
        <w:tab/>
      </w:r>
      <w:r w:rsidR="00304FB2" w:rsidRPr="004A4D63">
        <w:rPr>
          <w:sz w:val="28"/>
          <w:szCs w:val="28"/>
        </w:rPr>
        <w:t>A</w:t>
      </w:r>
      <w:r w:rsidR="00AF7DD6" w:rsidRPr="004A4D63">
        <w:rPr>
          <w:sz w:val="28"/>
          <w:szCs w:val="28"/>
        </w:rPr>
        <w:t xml:space="preserve">s discussed </w:t>
      </w:r>
      <w:r w:rsidR="00B655B1" w:rsidRPr="004A4D63">
        <w:rPr>
          <w:sz w:val="28"/>
          <w:szCs w:val="28"/>
        </w:rPr>
        <w:t>above,</w:t>
      </w:r>
      <w:r w:rsidR="00B655B1" w:rsidRPr="004A4D63">
        <w:rPr>
          <w:rStyle w:val="FootnoteReference"/>
          <w:sz w:val="28"/>
          <w:szCs w:val="28"/>
        </w:rPr>
        <w:footnoteReference w:id="151"/>
      </w:r>
      <w:r w:rsidR="00AF7DD6" w:rsidRPr="004A4D63">
        <w:rPr>
          <w:sz w:val="28"/>
          <w:szCs w:val="28"/>
        </w:rPr>
        <w:t xml:space="preserve"> the SEC staff now </w:t>
      </w:r>
      <w:r w:rsidR="00076C6E" w:rsidRPr="004A4D63">
        <w:rPr>
          <w:sz w:val="28"/>
          <w:szCs w:val="28"/>
        </w:rPr>
        <w:t xml:space="preserve">often </w:t>
      </w:r>
      <w:r w:rsidR="00AF7DD6" w:rsidRPr="004A4D63">
        <w:rPr>
          <w:sz w:val="28"/>
          <w:szCs w:val="28"/>
        </w:rPr>
        <w:t xml:space="preserve">avoids the Wells </w:t>
      </w:r>
      <w:r w:rsidR="00B655B1" w:rsidRPr="004A4D63">
        <w:rPr>
          <w:sz w:val="28"/>
          <w:szCs w:val="28"/>
        </w:rPr>
        <w:t xml:space="preserve">procedure </w:t>
      </w:r>
      <w:r w:rsidR="00217170" w:rsidRPr="004A4D63">
        <w:rPr>
          <w:sz w:val="28"/>
          <w:szCs w:val="28"/>
        </w:rPr>
        <w:t xml:space="preserve">because </w:t>
      </w:r>
      <w:r w:rsidR="00CE0586" w:rsidRPr="004A4D63">
        <w:rPr>
          <w:sz w:val="28"/>
          <w:szCs w:val="28"/>
        </w:rPr>
        <w:t xml:space="preserve">the </w:t>
      </w:r>
      <w:r w:rsidR="00217170" w:rsidRPr="004A4D63">
        <w:rPr>
          <w:sz w:val="28"/>
          <w:szCs w:val="28"/>
        </w:rPr>
        <w:t>Dodd</w:t>
      </w:r>
      <w:r w:rsidR="00C423C9" w:rsidRPr="004A4D63">
        <w:rPr>
          <w:sz w:val="28"/>
          <w:szCs w:val="28"/>
        </w:rPr>
        <w:t>-</w:t>
      </w:r>
      <w:r w:rsidR="00217170" w:rsidRPr="004A4D63">
        <w:rPr>
          <w:sz w:val="28"/>
          <w:szCs w:val="28"/>
        </w:rPr>
        <w:t>Frank</w:t>
      </w:r>
      <w:r w:rsidR="00CE0586" w:rsidRPr="004A4D63">
        <w:rPr>
          <w:sz w:val="28"/>
          <w:szCs w:val="28"/>
        </w:rPr>
        <w:t xml:space="preserve"> Act </w:t>
      </w:r>
      <w:r w:rsidR="00C423C9" w:rsidRPr="004A4D63">
        <w:rPr>
          <w:sz w:val="28"/>
          <w:szCs w:val="28"/>
        </w:rPr>
        <w:t xml:space="preserve">requires issuance of </w:t>
      </w:r>
      <w:r w:rsidR="00076C6E" w:rsidRPr="004A4D63">
        <w:rPr>
          <w:sz w:val="28"/>
          <w:szCs w:val="28"/>
        </w:rPr>
        <w:t>a</w:t>
      </w:r>
      <w:r w:rsidR="00C423C9" w:rsidRPr="004A4D63">
        <w:rPr>
          <w:sz w:val="28"/>
          <w:szCs w:val="28"/>
        </w:rPr>
        <w:t xml:space="preserve"> complaint within 180 days of a Wells notice. </w:t>
      </w:r>
      <w:r w:rsidR="005719BB" w:rsidRPr="004A4D63">
        <w:rPr>
          <w:sz w:val="28"/>
          <w:szCs w:val="28"/>
        </w:rPr>
        <w:t xml:space="preserve">In addition, </w:t>
      </w:r>
      <w:r w:rsidR="009B56FF" w:rsidRPr="004A4D63">
        <w:rPr>
          <w:sz w:val="28"/>
          <w:szCs w:val="28"/>
        </w:rPr>
        <w:t>public companies believe they must disclose issuance of a Wells notice</w:t>
      </w:r>
      <w:r w:rsidR="005719BB" w:rsidRPr="004A4D63">
        <w:rPr>
          <w:sz w:val="28"/>
          <w:szCs w:val="28"/>
        </w:rPr>
        <w:t xml:space="preserve"> and thus prefer that the SEC omit the procedure. </w:t>
      </w:r>
      <w:r w:rsidR="00AF7DD6" w:rsidRPr="004A4D63">
        <w:rPr>
          <w:sz w:val="28"/>
          <w:szCs w:val="28"/>
        </w:rPr>
        <w:t>I</w:t>
      </w:r>
      <w:r w:rsidR="00217170" w:rsidRPr="004A4D63">
        <w:rPr>
          <w:sz w:val="28"/>
          <w:szCs w:val="28"/>
        </w:rPr>
        <w:t xml:space="preserve">nstead, the staff </w:t>
      </w:r>
      <w:r w:rsidR="00AF7DD6" w:rsidRPr="004A4D63">
        <w:rPr>
          <w:sz w:val="28"/>
          <w:szCs w:val="28"/>
        </w:rPr>
        <w:t xml:space="preserve">informally notifies </w:t>
      </w:r>
      <w:r w:rsidR="0006125F" w:rsidRPr="004A4D63">
        <w:rPr>
          <w:sz w:val="28"/>
          <w:szCs w:val="28"/>
        </w:rPr>
        <w:t>the target</w:t>
      </w:r>
      <w:r w:rsidR="005A423E" w:rsidRPr="004A4D63">
        <w:rPr>
          <w:sz w:val="28"/>
          <w:szCs w:val="28"/>
        </w:rPr>
        <w:t xml:space="preserve"> of its intention to </w:t>
      </w:r>
      <w:r w:rsidR="00AF7DD6" w:rsidRPr="004A4D63">
        <w:rPr>
          <w:sz w:val="28"/>
          <w:szCs w:val="28"/>
        </w:rPr>
        <w:t xml:space="preserve">recommend </w:t>
      </w:r>
      <w:r w:rsidR="00217170" w:rsidRPr="004A4D63">
        <w:rPr>
          <w:sz w:val="28"/>
          <w:szCs w:val="28"/>
        </w:rPr>
        <w:t xml:space="preserve">that </w:t>
      </w:r>
      <w:r w:rsidR="00AF7DD6" w:rsidRPr="004A4D63">
        <w:rPr>
          <w:sz w:val="28"/>
          <w:szCs w:val="28"/>
        </w:rPr>
        <w:t>the Commission charge the target</w:t>
      </w:r>
      <w:r w:rsidR="00305793" w:rsidRPr="004A4D63">
        <w:rPr>
          <w:sz w:val="28"/>
          <w:szCs w:val="28"/>
        </w:rPr>
        <w:t>.</w:t>
      </w:r>
      <w:r w:rsidR="0006125F" w:rsidRPr="004A4D63">
        <w:rPr>
          <w:sz w:val="28"/>
          <w:szCs w:val="28"/>
        </w:rPr>
        <w:t xml:space="preserve"> The target then is </w:t>
      </w:r>
      <w:r w:rsidR="00A52BC4" w:rsidRPr="004A4D63">
        <w:rPr>
          <w:sz w:val="28"/>
          <w:szCs w:val="28"/>
        </w:rPr>
        <w:t xml:space="preserve">invited </w:t>
      </w:r>
      <w:r w:rsidR="0006125F" w:rsidRPr="004A4D63">
        <w:rPr>
          <w:sz w:val="28"/>
          <w:szCs w:val="28"/>
        </w:rPr>
        <w:t xml:space="preserve">to prepare a “white paper” </w:t>
      </w:r>
      <w:r w:rsidR="005A423E" w:rsidRPr="004A4D63">
        <w:rPr>
          <w:sz w:val="28"/>
          <w:szCs w:val="28"/>
        </w:rPr>
        <w:t xml:space="preserve">that </w:t>
      </w:r>
      <w:r w:rsidR="0006125F" w:rsidRPr="004A4D63">
        <w:rPr>
          <w:sz w:val="28"/>
          <w:szCs w:val="28"/>
        </w:rPr>
        <w:t xml:space="preserve">serves the same function as </w:t>
      </w:r>
      <w:r w:rsidR="00AF7DD6" w:rsidRPr="004A4D63">
        <w:rPr>
          <w:sz w:val="28"/>
          <w:szCs w:val="28"/>
        </w:rPr>
        <w:t xml:space="preserve">a Wells </w:t>
      </w:r>
      <w:r w:rsidR="0006125F" w:rsidRPr="004A4D63">
        <w:rPr>
          <w:sz w:val="28"/>
          <w:szCs w:val="28"/>
        </w:rPr>
        <w:t>response</w:t>
      </w:r>
      <w:r w:rsidR="00AF7DD6" w:rsidRPr="004A4D63">
        <w:rPr>
          <w:sz w:val="28"/>
          <w:szCs w:val="28"/>
        </w:rPr>
        <w:t xml:space="preserve">. </w:t>
      </w:r>
      <w:r w:rsidRPr="004A4D63">
        <w:rPr>
          <w:sz w:val="28"/>
          <w:szCs w:val="28"/>
        </w:rPr>
        <w:t xml:space="preserve"> </w:t>
      </w:r>
      <w:r w:rsidR="00796A3F" w:rsidRPr="004A4D63">
        <w:rPr>
          <w:sz w:val="28"/>
          <w:szCs w:val="28"/>
        </w:rPr>
        <w:t>The FTC’s white paper process is similar to th</w:t>
      </w:r>
      <w:r w:rsidR="00405236">
        <w:rPr>
          <w:sz w:val="28"/>
          <w:szCs w:val="28"/>
        </w:rPr>
        <w:t xml:space="preserve">at practiced by the </w:t>
      </w:r>
      <w:r w:rsidR="00796A3F" w:rsidRPr="004A4D63">
        <w:rPr>
          <w:sz w:val="28"/>
          <w:szCs w:val="28"/>
        </w:rPr>
        <w:t xml:space="preserve">SEC.  </w:t>
      </w:r>
    </w:p>
    <w:p w14:paraId="0059C700" w14:textId="6EA68614" w:rsidR="00217170" w:rsidRPr="004A4D63" w:rsidRDefault="005719BB" w:rsidP="0065383A">
      <w:pPr>
        <w:spacing w:line="480" w:lineRule="auto"/>
        <w:rPr>
          <w:sz w:val="28"/>
          <w:szCs w:val="28"/>
        </w:rPr>
      </w:pPr>
      <w:r w:rsidRPr="004A4D63">
        <w:rPr>
          <w:sz w:val="28"/>
          <w:szCs w:val="28"/>
        </w:rPr>
        <w:tab/>
        <w:t>SEC commissioners told me that they and their advisory staff take Wells responses or white papers seriously</w:t>
      </w:r>
      <w:r w:rsidR="00A52BC4" w:rsidRPr="004A4D63">
        <w:rPr>
          <w:sz w:val="28"/>
          <w:szCs w:val="28"/>
        </w:rPr>
        <w:t>.</w:t>
      </w:r>
      <w:r w:rsidRPr="004A4D63">
        <w:rPr>
          <w:rStyle w:val="FootnoteReference"/>
          <w:sz w:val="28"/>
          <w:szCs w:val="28"/>
        </w:rPr>
        <w:footnoteReference w:id="152"/>
      </w:r>
      <w:r w:rsidRPr="004A4D63">
        <w:rPr>
          <w:sz w:val="28"/>
          <w:szCs w:val="28"/>
        </w:rPr>
        <w:t xml:space="preserve"> The</w:t>
      </w:r>
      <w:r w:rsidR="00A52BC4" w:rsidRPr="004A4D63">
        <w:rPr>
          <w:sz w:val="28"/>
          <w:szCs w:val="28"/>
        </w:rPr>
        <w:t xml:space="preserve">se submissions sometimes persuade the SEC heads </w:t>
      </w:r>
      <w:r w:rsidRPr="004A4D63">
        <w:rPr>
          <w:sz w:val="28"/>
          <w:szCs w:val="28"/>
        </w:rPr>
        <w:t>that issuance of a complaint is contrary to their policy priorities</w:t>
      </w:r>
      <w:r w:rsidR="00A52BC4" w:rsidRPr="004A4D63">
        <w:rPr>
          <w:sz w:val="28"/>
          <w:szCs w:val="28"/>
        </w:rPr>
        <w:t xml:space="preserve">, that the case is weak, </w:t>
      </w:r>
      <w:r w:rsidRPr="004A4D63">
        <w:rPr>
          <w:sz w:val="28"/>
          <w:szCs w:val="28"/>
        </w:rPr>
        <w:t xml:space="preserve">or that the complaint </w:t>
      </w:r>
      <w:r w:rsidR="00A52BC4" w:rsidRPr="004A4D63">
        <w:rPr>
          <w:sz w:val="28"/>
          <w:szCs w:val="28"/>
        </w:rPr>
        <w:t xml:space="preserve">should be </w:t>
      </w:r>
      <w:r w:rsidR="007A70B1" w:rsidRPr="004A4D63">
        <w:rPr>
          <w:sz w:val="28"/>
          <w:szCs w:val="28"/>
        </w:rPr>
        <w:t>narrowed</w:t>
      </w:r>
      <w:r w:rsidR="00A52BC4" w:rsidRPr="004A4D63">
        <w:rPr>
          <w:sz w:val="28"/>
          <w:szCs w:val="28"/>
        </w:rPr>
        <w:t>.</w:t>
      </w:r>
      <w:r w:rsidRPr="004A4D63">
        <w:rPr>
          <w:sz w:val="28"/>
          <w:szCs w:val="28"/>
        </w:rPr>
        <w:t xml:space="preserve"> Defense lawyers appreciate the Wells</w:t>
      </w:r>
      <w:r w:rsidR="00C423C9" w:rsidRPr="004A4D63">
        <w:rPr>
          <w:sz w:val="28"/>
          <w:szCs w:val="28"/>
        </w:rPr>
        <w:t xml:space="preserve"> and white paper </w:t>
      </w:r>
      <w:r w:rsidRPr="004A4D63">
        <w:rPr>
          <w:sz w:val="28"/>
          <w:szCs w:val="28"/>
        </w:rPr>
        <w:t xml:space="preserve">process and often use it to extract more </w:t>
      </w:r>
      <w:r w:rsidRPr="004A4D63">
        <w:rPr>
          <w:sz w:val="28"/>
          <w:szCs w:val="28"/>
        </w:rPr>
        <w:lastRenderedPageBreak/>
        <w:t xml:space="preserve">information from the staff than </w:t>
      </w:r>
      <w:r w:rsidR="00C423C9" w:rsidRPr="004A4D63">
        <w:rPr>
          <w:sz w:val="28"/>
          <w:szCs w:val="28"/>
        </w:rPr>
        <w:t xml:space="preserve">might </w:t>
      </w:r>
      <w:r w:rsidRPr="004A4D63">
        <w:rPr>
          <w:sz w:val="28"/>
          <w:szCs w:val="28"/>
        </w:rPr>
        <w:t>otherwise be disclosed.</w:t>
      </w:r>
      <w:r w:rsidRPr="004A4D63">
        <w:rPr>
          <w:rStyle w:val="FootnoteReference"/>
          <w:sz w:val="28"/>
          <w:szCs w:val="28"/>
        </w:rPr>
        <w:footnoteReference w:id="153"/>
      </w:r>
      <w:r w:rsidRPr="004A4D63">
        <w:rPr>
          <w:sz w:val="28"/>
          <w:szCs w:val="28"/>
        </w:rPr>
        <w:t xml:space="preserve"> </w:t>
      </w:r>
      <w:r w:rsidR="00C423C9" w:rsidRPr="004A4D63">
        <w:rPr>
          <w:sz w:val="28"/>
          <w:szCs w:val="28"/>
        </w:rPr>
        <w:t xml:space="preserve">My interviewees expressed </w:t>
      </w:r>
      <w:r w:rsidRPr="004A4D63">
        <w:rPr>
          <w:sz w:val="28"/>
          <w:szCs w:val="28"/>
        </w:rPr>
        <w:t>unanimous support for the Wells or white paper proc</w:t>
      </w:r>
      <w:r w:rsidR="002B1859" w:rsidRPr="004A4D63">
        <w:rPr>
          <w:sz w:val="28"/>
          <w:szCs w:val="28"/>
        </w:rPr>
        <w:t>edures.</w:t>
      </w:r>
      <w:r w:rsidRPr="004A4D63">
        <w:rPr>
          <w:rStyle w:val="FootnoteReference"/>
          <w:sz w:val="28"/>
          <w:szCs w:val="28"/>
        </w:rPr>
        <w:footnoteReference w:id="154"/>
      </w:r>
      <w:r w:rsidRPr="004A4D63">
        <w:rPr>
          <w:sz w:val="28"/>
          <w:szCs w:val="28"/>
        </w:rPr>
        <w:t xml:space="preserve"> </w:t>
      </w:r>
    </w:p>
    <w:p w14:paraId="480885BF" w14:textId="503519B0" w:rsidR="0039067B" w:rsidRPr="004A4D63" w:rsidRDefault="00217170" w:rsidP="0065383A">
      <w:pPr>
        <w:spacing w:line="480" w:lineRule="auto"/>
        <w:rPr>
          <w:sz w:val="28"/>
          <w:szCs w:val="28"/>
        </w:rPr>
      </w:pPr>
      <w:r w:rsidRPr="004A4D63">
        <w:rPr>
          <w:sz w:val="28"/>
          <w:szCs w:val="28"/>
        </w:rPr>
        <w:tab/>
      </w:r>
      <w:r w:rsidR="00AF7DD6" w:rsidRPr="004A4D63">
        <w:rPr>
          <w:sz w:val="28"/>
          <w:szCs w:val="28"/>
        </w:rPr>
        <w:t xml:space="preserve">FERC </w:t>
      </w:r>
      <w:r w:rsidR="00461337" w:rsidRPr="004A4D63">
        <w:rPr>
          <w:sz w:val="28"/>
          <w:szCs w:val="28"/>
        </w:rPr>
        <w:t xml:space="preserve">provides </w:t>
      </w:r>
      <w:r w:rsidRPr="004A4D63">
        <w:rPr>
          <w:sz w:val="28"/>
          <w:szCs w:val="28"/>
        </w:rPr>
        <w:t xml:space="preserve">two distinct opportunities for the target to influence the charging decision. </w:t>
      </w:r>
      <w:r w:rsidR="00E95686" w:rsidRPr="004A4D63">
        <w:rPr>
          <w:sz w:val="28"/>
          <w:szCs w:val="28"/>
        </w:rPr>
        <w:t xml:space="preserve">After </w:t>
      </w:r>
      <w:r w:rsidR="00C423C9" w:rsidRPr="004A4D63">
        <w:rPr>
          <w:sz w:val="28"/>
          <w:szCs w:val="28"/>
        </w:rPr>
        <w:t xml:space="preserve">the staff decides </w:t>
      </w:r>
      <w:r w:rsidR="00E95686" w:rsidRPr="004A4D63">
        <w:rPr>
          <w:sz w:val="28"/>
          <w:szCs w:val="28"/>
        </w:rPr>
        <w:t xml:space="preserve">that a complaint should issue, </w:t>
      </w:r>
      <w:r w:rsidR="00796A3F" w:rsidRPr="004A4D63">
        <w:rPr>
          <w:sz w:val="28"/>
          <w:szCs w:val="28"/>
        </w:rPr>
        <w:t xml:space="preserve">it generates </w:t>
      </w:r>
      <w:r w:rsidRPr="004A4D63">
        <w:rPr>
          <w:sz w:val="28"/>
          <w:szCs w:val="28"/>
        </w:rPr>
        <w:t>a</w:t>
      </w:r>
      <w:r w:rsidR="0021623C" w:rsidRPr="004A4D63">
        <w:rPr>
          <w:sz w:val="28"/>
          <w:szCs w:val="28"/>
        </w:rPr>
        <w:t xml:space="preserve"> “preliminary findings memo</w:t>
      </w:r>
      <w:r w:rsidR="00060441">
        <w:rPr>
          <w:sz w:val="28"/>
          <w:szCs w:val="28"/>
        </w:rPr>
        <w:t>.</w:t>
      </w:r>
      <w:r w:rsidR="0021623C" w:rsidRPr="004A4D63">
        <w:rPr>
          <w:sz w:val="28"/>
          <w:szCs w:val="28"/>
        </w:rPr>
        <w:t xml:space="preserve">” </w:t>
      </w:r>
      <w:r w:rsidR="00060441">
        <w:rPr>
          <w:sz w:val="28"/>
          <w:szCs w:val="28"/>
        </w:rPr>
        <w:t>T</w:t>
      </w:r>
      <w:r w:rsidR="0021623C" w:rsidRPr="004A4D63">
        <w:rPr>
          <w:sz w:val="28"/>
          <w:szCs w:val="28"/>
        </w:rPr>
        <w:t>he target has the opportunity to file a responsive brief. These documents are presented to the agency heads when the</w:t>
      </w:r>
      <w:r w:rsidR="00796A3F" w:rsidRPr="004A4D63">
        <w:rPr>
          <w:sz w:val="28"/>
          <w:szCs w:val="28"/>
        </w:rPr>
        <w:t>y</w:t>
      </w:r>
      <w:r w:rsidR="0021623C" w:rsidRPr="004A4D63">
        <w:rPr>
          <w:sz w:val="28"/>
          <w:szCs w:val="28"/>
        </w:rPr>
        <w:t xml:space="preserve"> consider whether to permit the staff to enter into settlement negotiations.</w:t>
      </w:r>
      <w:r w:rsidR="005719BB" w:rsidRPr="004A4D63">
        <w:rPr>
          <w:rStyle w:val="FootnoteReference"/>
          <w:sz w:val="28"/>
          <w:szCs w:val="28"/>
        </w:rPr>
        <w:footnoteReference w:id="155"/>
      </w:r>
      <w:r w:rsidR="0021623C" w:rsidRPr="004A4D63">
        <w:rPr>
          <w:sz w:val="28"/>
          <w:szCs w:val="28"/>
        </w:rPr>
        <w:t xml:space="preserve"> If the case </w:t>
      </w:r>
      <w:r w:rsidR="002B1859" w:rsidRPr="004A4D63">
        <w:rPr>
          <w:sz w:val="28"/>
          <w:szCs w:val="28"/>
        </w:rPr>
        <w:t xml:space="preserve">does </w:t>
      </w:r>
      <w:r w:rsidR="0021623C" w:rsidRPr="004A4D63">
        <w:rPr>
          <w:sz w:val="28"/>
          <w:szCs w:val="28"/>
        </w:rPr>
        <w:t xml:space="preserve">not settle, the staff produces a Rule 1b.19 memorandum, </w:t>
      </w:r>
      <w:r w:rsidR="00461337" w:rsidRPr="004A4D63">
        <w:rPr>
          <w:sz w:val="28"/>
          <w:szCs w:val="28"/>
        </w:rPr>
        <w:t xml:space="preserve">a process modelled after the </w:t>
      </w:r>
      <w:r w:rsidR="005719BB" w:rsidRPr="004A4D63">
        <w:rPr>
          <w:sz w:val="28"/>
          <w:szCs w:val="28"/>
        </w:rPr>
        <w:t xml:space="preserve">SEC’s </w:t>
      </w:r>
      <w:r w:rsidR="00461337" w:rsidRPr="004A4D63">
        <w:rPr>
          <w:sz w:val="28"/>
          <w:szCs w:val="28"/>
        </w:rPr>
        <w:t>Wells notice</w:t>
      </w:r>
      <w:r w:rsidR="00B655B1" w:rsidRPr="004A4D63">
        <w:rPr>
          <w:sz w:val="28"/>
          <w:szCs w:val="28"/>
        </w:rPr>
        <w:t>.</w:t>
      </w:r>
      <w:r w:rsidR="00461337" w:rsidRPr="004A4D63">
        <w:rPr>
          <w:sz w:val="28"/>
          <w:szCs w:val="28"/>
        </w:rPr>
        <w:t xml:space="preserve"> The Rule 1b.19 notice aga</w:t>
      </w:r>
      <w:r w:rsidR="0021623C" w:rsidRPr="004A4D63">
        <w:rPr>
          <w:sz w:val="28"/>
          <w:szCs w:val="28"/>
        </w:rPr>
        <w:t xml:space="preserve">in </w:t>
      </w:r>
      <w:r w:rsidR="00461337" w:rsidRPr="004A4D63">
        <w:rPr>
          <w:sz w:val="28"/>
          <w:szCs w:val="28"/>
        </w:rPr>
        <w:t>sets forth the facts and legal analysis supporting the staff’s decision to seek a charging decision</w:t>
      </w:r>
      <w:r w:rsidR="005719BB" w:rsidRPr="004A4D63">
        <w:rPr>
          <w:sz w:val="28"/>
          <w:szCs w:val="28"/>
        </w:rPr>
        <w:t xml:space="preserve">, but </w:t>
      </w:r>
      <w:r w:rsidR="002B1859" w:rsidRPr="004A4D63">
        <w:rPr>
          <w:sz w:val="28"/>
          <w:szCs w:val="28"/>
        </w:rPr>
        <w:t xml:space="preserve">more briefly </w:t>
      </w:r>
      <w:r w:rsidR="005719BB" w:rsidRPr="004A4D63">
        <w:rPr>
          <w:sz w:val="28"/>
          <w:szCs w:val="28"/>
        </w:rPr>
        <w:t xml:space="preserve">than the preliminary findings memo. </w:t>
      </w:r>
      <w:r w:rsidR="00461337" w:rsidRPr="004A4D63">
        <w:rPr>
          <w:sz w:val="28"/>
          <w:szCs w:val="28"/>
        </w:rPr>
        <w:t xml:space="preserve">The target has 30 days to respond to </w:t>
      </w:r>
      <w:r w:rsidR="00E95686" w:rsidRPr="004A4D63">
        <w:rPr>
          <w:sz w:val="28"/>
          <w:szCs w:val="28"/>
        </w:rPr>
        <w:t xml:space="preserve">the Rule 1b.19 notice. </w:t>
      </w:r>
      <w:r w:rsidR="00461337" w:rsidRPr="004A4D63">
        <w:rPr>
          <w:sz w:val="28"/>
          <w:szCs w:val="28"/>
        </w:rPr>
        <w:t xml:space="preserve"> </w:t>
      </w:r>
      <w:r w:rsidR="005719BB" w:rsidRPr="004A4D63">
        <w:rPr>
          <w:sz w:val="28"/>
          <w:szCs w:val="28"/>
        </w:rPr>
        <w:t>T</w:t>
      </w:r>
      <w:r w:rsidR="00461337" w:rsidRPr="004A4D63">
        <w:rPr>
          <w:sz w:val="28"/>
          <w:szCs w:val="28"/>
        </w:rPr>
        <w:t xml:space="preserve">he agency heads consider the Rule 1b.19 notice and the response when they decide whether to issue a charging decision (an OSC in FERC parlance) or seek federal </w:t>
      </w:r>
      <w:r w:rsidR="009B56FF" w:rsidRPr="004A4D63">
        <w:rPr>
          <w:sz w:val="28"/>
          <w:szCs w:val="28"/>
        </w:rPr>
        <w:t>c</w:t>
      </w:r>
      <w:r w:rsidR="00461337" w:rsidRPr="004A4D63">
        <w:rPr>
          <w:sz w:val="28"/>
          <w:szCs w:val="28"/>
        </w:rPr>
        <w:t xml:space="preserve">ourt enforcement.  </w:t>
      </w:r>
      <w:r w:rsidR="00E95686" w:rsidRPr="004A4D63">
        <w:rPr>
          <w:sz w:val="28"/>
          <w:szCs w:val="28"/>
        </w:rPr>
        <w:t xml:space="preserve">Several </w:t>
      </w:r>
      <w:r w:rsidR="005719BB" w:rsidRPr="004A4D63">
        <w:rPr>
          <w:sz w:val="28"/>
          <w:szCs w:val="28"/>
        </w:rPr>
        <w:t>interviewees thought the Rule 1b.19 procedure was redundant since it duplicates the preliminary findings memo and response.</w:t>
      </w:r>
      <w:r w:rsidR="005719BB" w:rsidRPr="004A4D63">
        <w:rPr>
          <w:rStyle w:val="FootnoteReference"/>
          <w:sz w:val="28"/>
          <w:szCs w:val="28"/>
        </w:rPr>
        <w:footnoteReference w:id="156"/>
      </w:r>
      <w:r w:rsidR="005719BB" w:rsidRPr="004A4D63">
        <w:rPr>
          <w:sz w:val="28"/>
          <w:szCs w:val="28"/>
        </w:rPr>
        <w:t xml:space="preserve"> </w:t>
      </w:r>
      <w:r w:rsidR="009B56FF" w:rsidRPr="004A4D63">
        <w:rPr>
          <w:sz w:val="28"/>
          <w:szCs w:val="28"/>
        </w:rPr>
        <w:t>The target has a third opportunity to state its case by filing a brief after issuance of the OSC.</w:t>
      </w:r>
    </w:p>
    <w:p w14:paraId="57144264" w14:textId="5908D133" w:rsidR="00365938" w:rsidRPr="004A4D63" w:rsidRDefault="0039067B" w:rsidP="0065383A">
      <w:pPr>
        <w:spacing w:line="480" w:lineRule="auto"/>
        <w:rPr>
          <w:sz w:val="28"/>
          <w:szCs w:val="28"/>
        </w:rPr>
      </w:pPr>
      <w:r w:rsidRPr="004A4D63">
        <w:rPr>
          <w:sz w:val="28"/>
          <w:szCs w:val="28"/>
        </w:rPr>
        <w:lastRenderedPageBreak/>
        <w:tab/>
        <w:t xml:space="preserve">The regional offices of the NLRB that investigate unfair labor practice charges offer targets </w:t>
      </w:r>
      <w:r w:rsidR="00E95686" w:rsidRPr="004A4D63">
        <w:rPr>
          <w:sz w:val="28"/>
          <w:szCs w:val="28"/>
        </w:rPr>
        <w:t xml:space="preserve">the ability to file </w:t>
      </w:r>
      <w:r w:rsidRPr="004A4D63">
        <w:rPr>
          <w:sz w:val="28"/>
          <w:szCs w:val="28"/>
        </w:rPr>
        <w:t xml:space="preserve">a </w:t>
      </w:r>
      <w:r w:rsidR="002A76E0" w:rsidRPr="004A4D63">
        <w:rPr>
          <w:sz w:val="28"/>
          <w:szCs w:val="28"/>
        </w:rPr>
        <w:t>position paper in response</w:t>
      </w:r>
      <w:r w:rsidR="00E95686" w:rsidRPr="004A4D63">
        <w:rPr>
          <w:sz w:val="28"/>
          <w:szCs w:val="28"/>
        </w:rPr>
        <w:t xml:space="preserve"> to the charge</w:t>
      </w:r>
      <w:r w:rsidR="00796A3F" w:rsidRPr="004A4D63">
        <w:rPr>
          <w:sz w:val="28"/>
          <w:szCs w:val="28"/>
        </w:rPr>
        <w:t>.</w:t>
      </w:r>
      <w:r w:rsidR="00E95686" w:rsidRPr="004A4D63">
        <w:rPr>
          <w:sz w:val="28"/>
          <w:szCs w:val="28"/>
        </w:rPr>
        <w:t xml:space="preserve"> </w:t>
      </w:r>
      <w:r w:rsidR="00C438DC" w:rsidRPr="004A4D63">
        <w:rPr>
          <w:sz w:val="28"/>
          <w:szCs w:val="28"/>
        </w:rPr>
        <w:t xml:space="preserve">Targets also have the opportunity to meet with regional staff and (in cases where there is an appeal against the charge or refusal to charge) with regional directors and with the GC if the latter agrees to the meeting. </w:t>
      </w:r>
    </w:p>
    <w:p w14:paraId="5E74B298" w14:textId="40612AA5" w:rsidR="0006125F" w:rsidRPr="004A4D63" w:rsidRDefault="00365938" w:rsidP="0065383A">
      <w:pPr>
        <w:spacing w:line="480" w:lineRule="auto"/>
        <w:rPr>
          <w:sz w:val="28"/>
          <w:szCs w:val="28"/>
        </w:rPr>
      </w:pPr>
      <w:r w:rsidRPr="004A4D63">
        <w:rPr>
          <w:sz w:val="28"/>
          <w:szCs w:val="28"/>
        </w:rPr>
        <w:tab/>
        <w:t xml:space="preserve">The FCC does not provide a formalized notice and comment system prior to issuance of a Notice of Apparent Liability (NAL). The target can file a detailed response </w:t>
      </w:r>
      <w:r w:rsidR="00BC5C77" w:rsidRPr="004A4D63">
        <w:rPr>
          <w:sz w:val="28"/>
          <w:szCs w:val="28"/>
        </w:rPr>
        <w:t>after the</w:t>
      </w:r>
      <w:r w:rsidRPr="004A4D63">
        <w:rPr>
          <w:sz w:val="28"/>
          <w:szCs w:val="28"/>
        </w:rPr>
        <w:t xml:space="preserve"> </w:t>
      </w:r>
      <w:r w:rsidR="00BC5C77" w:rsidRPr="004A4D63">
        <w:rPr>
          <w:sz w:val="28"/>
          <w:szCs w:val="28"/>
        </w:rPr>
        <w:t xml:space="preserve">staff issues the </w:t>
      </w:r>
      <w:r w:rsidRPr="004A4D63">
        <w:rPr>
          <w:sz w:val="28"/>
          <w:szCs w:val="28"/>
        </w:rPr>
        <w:t>NAL</w:t>
      </w:r>
      <w:r w:rsidR="00BC5C77" w:rsidRPr="004A4D63">
        <w:rPr>
          <w:sz w:val="28"/>
          <w:szCs w:val="28"/>
        </w:rPr>
        <w:t xml:space="preserve">. </w:t>
      </w:r>
      <w:r w:rsidRPr="004A4D63">
        <w:rPr>
          <w:sz w:val="28"/>
          <w:szCs w:val="28"/>
        </w:rPr>
        <w:t xml:space="preserve">The response is intended primarily for the benefit of the Commissioners who will be called on to greenlight the complaint and, later, will adjudicate it. </w:t>
      </w:r>
    </w:p>
    <w:p w14:paraId="3DC4CC8C" w14:textId="292A7C26" w:rsidR="0006125F" w:rsidRPr="004A4D63" w:rsidRDefault="0006125F" w:rsidP="0065383A">
      <w:pPr>
        <w:spacing w:line="480" w:lineRule="auto"/>
        <w:rPr>
          <w:sz w:val="28"/>
          <w:szCs w:val="28"/>
        </w:rPr>
      </w:pPr>
      <w:r w:rsidRPr="004A4D63">
        <w:rPr>
          <w:sz w:val="28"/>
          <w:szCs w:val="28"/>
        </w:rPr>
        <w:tab/>
      </w:r>
      <w:r w:rsidR="00B655B1" w:rsidRPr="004A4D63">
        <w:rPr>
          <w:sz w:val="28"/>
          <w:szCs w:val="28"/>
        </w:rPr>
        <w:t>In my opinion, the notice and comment procedure employed by the SEC</w:t>
      </w:r>
      <w:r w:rsidR="002B1859" w:rsidRPr="004A4D63">
        <w:rPr>
          <w:sz w:val="28"/>
          <w:szCs w:val="28"/>
        </w:rPr>
        <w:t>,</w:t>
      </w:r>
      <w:r w:rsidR="00B655B1" w:rsidRPr="004A4D63">
        <w:rPr>
          <w:sz w:val="28"/>
          <w:szCs w:val="28"/>
        </w:rPr>
        <w:t xml:space="preserve"> </w:t>
      </w:r>
      <w:r w:rsidR="00796A3F" w:rsidRPr="004A4D63">
        <w:rPr>
          <w:sz w:val="28"/>
          <w:szCs w:val="28"/>
        </w:rPr>
        <w:t xml:space="preserve">FTC,  </w:t>
      </w:r>
      <w:r w:rsidR="00B655B1" w:rsidRPr="004A4D63">
        <w:rPr>
          <w:sz w:val="28"/>
          <w:szCs w:val="28"/>
        </w:rPr>
        <w:t>FERC</w:t>
      </w:r>
      <w:r w:rsidR="002B1859" w:rsidRPr="004A4D63">
        <w:rPr>
          <w:sz w:val="28"/>
          <w:szCs w:val="28"/>
        </w:rPr>
        <w:t>, and NLRB</w:t>
      </w:r>
      <w:r w:rsidR="00B655B1" w:rsidRPr="004A4D63">
        <w:rPr>
          <w:sz w:val="28"/>
          <w:szCs w:val="28"/>
        </w:rPr>
        <w:t xml:space="preserve"> </w:t>
      </w:r>
      <w:r w:rsidR="002B1859" w:rsidRPr="004A4D63">
        <w:rPr>
          <w:sz w:val="28"/>
          <w:szCs w:val="28"/>
        </w:rPr>
        <w:t xml:space="preserve">during the pre-charging phase of enforcement </w:t>
      </w:r>
      <w:r w:rsidR="00BC2C1A" w:rsidRPr="004A4D63">
        <w:rPr>
          <w:sz w:val="28"/>
          <w:szCs w:val="28"/>
        </w:rPr>
        <w:t>is</w:t>
      </w:r>
      <w:r w:rsidR="00B655B1" w:rsidRPr="004A4D63">
        <w:rPr>
          <w:sz w:val="28"/>
          <w:szCs w:val="28"/>
        </w:rPr>
        <w:t xml:space="preserve"> useful</w:t>
      </w:r>
      <w:r w:rsidR="008D657E" w:rsidRPr="004A4D63">
        <w:rPr>
          <w:sz w:val="28"/>
          <w:szCs w:val="28"/>
        </w:rPr>
        <w:t xml:space="preserve"> and </w:t>
      </w:r>
      <w:r w:rsidR="00D816A1" w:rsidRPr="004A4D63">
        <w:rPr>
          <w:sz w:val="28"/>
          <w:szCs w:val="28"/>
        </w:rPr>
        <w:t xml:space="preserve">should be considered </w:t>
      </w:r>
      <w:r w:rsidR="008D657E" w:rsidRPr="004A4D63">
        <w:rPr>
          <w:sz w:val="28"/>
          <w:szCs w:val="28"/>
        </w:rPr>
        <w:t>best practice.</w:t>
      </w:r>
      <w:r w:rsidR="00461337" w:rsidRPr="004A4D63">
        <w:rPr>
          <w:sz w:val="28"/>
          <w:szCs w:val="28"/>
        </w:rPr>
        <w:t xml:space="preserve"> </w:t>
      </w:r>
      <w:r w:rsidR="00B51E27" w:rsidRPr="004A4D63">
        <w:rPr>
          <w:sz w:val="28"/>
          <w:szCs w:val="28"/>
        </w:rPr>
        <w:t xml:space="preserve"> The formalized ability to comment </w:t>
      </w:r>
      <w:r w:rsidR="00365938" w:rsidRPr="004A4D63">
        <w:rPr>
          <w:sz w:val="28"/>
          <w:szCs w:val="28"/>
        </w:rPr>
        <w:t>contributes to a sense by private parties that they are being treated fairly and helps them decide whether to settle</w:t>
      </w:r>
      <w:r w:rsidR="00B51E27" w:rsidRPr="004A4D63">
        <w:rPr>
          <w:sz w:val="28"/>
          <w:szCs w:val="28"/>
        </w:rPr>
        <w:t>.</w:t>
      </w:r>
      <w:r w:rsidR="00365938" w:rsidRPr="004A4D63">
        <w:rPr>
          <w:sz w:val="28"/>
          <w:szCs w:val="28"/>
        </w:rPr>
        <w:t xml:space="preserve"> The process facilitates reasoned decisionmaking by the enforcement staff and </w:t>
      </w:r>
      <w:r w:rsidR="00945C6E" w:rsidRPr="004A4D63">
        <w:rPr>
          <w:sz w:val="28"/>
          <w:szCs w:val="28"/>
        </w:rPr>
        <w:t>helps t</w:t>
      </w:r>
      <w:r w:rsidR="00060441">
        <w:rPr>
          <w:sz w:val="28"/>
          <w:szCs w:val="28"/>
        </w:rPr>
        <w:t xml:space="preserve">he agency heads produce an informed greenlighting decision. </w:t>
      </w:r>
      <w:r w:rsidR="00EA3B6F" w:rsidRPr="004A4D63">
        <w:rPr>
          <w:sz w:val="28"/>
          <w:szCs w:val="28"/>
        </w:rPr>
        <w:t xml:space="preserve">It </w:t>
      </w:r>
      <w:r w:rsidR="00461337" w:rsidRPr="004A4D63">
        <w:rPr>
          <w:sz w:val="28"/>
          <w:szCs w:val="28"/>
        </w:rPr>
        <w:t>furthers what Michaels called internal separation of powers.</w:t>
      </w:r>
      <w:r w:rsidR="00461337" w:rsidRPr="004A4D63">
        <w:rPr>
          <w:rStyle w:val="FootnoteReference"/>
          <w:sz w:val="28"/>
          <w:szCs w:val="28"/>
        </w:rPr>
        <w:footnoteReference w:id="157"/>
      </w:r>
      <w:r w:rsidR="00B4062C" w:rsidRPr="004A4D63">
        <w:rPr>
          <w:sz w:val="28"/>
          <w:szCs w:val="28"/>
        </w:rPr>
        <w:t xml:space="preserve"> </w:t>
      </w:r>
      <w:r w:rsidR="00461337" w:rsidRPr="004A4D63">
        <w:rPr>
          <w:sz w:val="28"/>
          <w:szCs w:val="28"/>
        </w:rPr>
        <w:t xml:space="preserve">I would not, however, recommend that agencies provide two separate </w:t>
      </w:r>
      <w:r w:rsidR="00461337" w:rsidRPr="004A4D63">
        <w:rPr>
          <w:sz w:val="28"/>
          <w:szCs w:val="28"/>
        </w:rPr>
        <w:lastRenderedPageBreak/>
        <w:t xml:space="preserve">opportunities of this kind, as occurs in FERC practice. </w:t>
      </w:r>
      <w:r w:rsidR="008D657E" w:rsidRPr="004A4D63">
        <w:rPr>
          <w:sz w:val="28"/>
          <w:szCs w:val="28"/>
        </w:rPr>
        <w:t xml:space="preserve">A double notice and comment procedure </w:t>
      </w:r>
      <w:r w:rsidR="00461337" w:rsidRPr="004A4D63">
        <w:rPr>
          <w:sz w:val="28"/>
          <w:szCs w:val="28"/>
        </w:rPr>
        <w:t>seems redundant and increases costs for both targets and agencies</w:t>
      </w:r>
      <w:r w:rsidR="007F41D9" w:rsidRPr="004A4D63">
        <w:rPr>
          <w:sz w:val="28"/>
          <w:szCs w:val="28"/>
        </w:rPr>
        <w:t xml:space="preserve"> without corresponding benefit</w:t>
      </w:r>
      <w:r w:rsidR="00461337" w:rsidRPr="004A4D63">
        <w:rPr>
          <w:sz w:val="28"/>
          <w:szCs w:val="28"/>
        </w:rPr>
        <w:t xml:space="preserve">. </w:t>
      </w:r>
    </w:p>
    <w:p w14:paraId="0C58C4E8" w14:textId="25C5AEEC" w:rsidR="00112A29" w:rsidRPr="004A4D63" w:rsidRDefault="0006125F" w:rsidP="0065383A">
      <w:pPr>
        <w:spacing w:line="480" w:lineRule="auto"/>
        <w:rPr>
          <w:b/>
          <w:bCs/>
          <w:sz w:val="28"/>
          <w:szCs w:val="28"/>
        </w:rPr>
      </w:pPr>
      <w:r w:rsidRPr="004A4D63">
        <w:rPr>
          <w:b/>
          <w:bCs/>
          <w:sz w:val="28"/>
          <w:szCs w:val="28"/>
        </w:rPr>
        <w:t xml:space="preserve">B. </w:t>
      </w:r>
      <w:r w:rsidR="001D72FA" w:rsidRPr="004A4D63">
        <w:rPr>
          <w:b/>
          <w:bCs/>
          <w:sz w:val="28"/>
          <w:szCs w:val="28"/>
        </w:rPr>
        <w:t xml:space="preserve">ABILITY OF </w:t>
      </w:r>
      <w:r w:rsidR="00C250E9" w:rsidRPr="004A4D63">
        <w:rPr>
          <w:b/>
          <w:bCs/>
          <w:sz w:val="28"/>
          <w:szCs w:val="28"/>
        </w:rPr>
        <w:t xml:space="preserve">TARGET TO </w:t>
      </w:r>
      <w:r w:rsidR="009009BE" w:rsidRPr="004A4D63">
        <w:rPr>
          <w:b/>
          <w:bCs/>
          <w:sz w:val="28"/>
          <w:szCs w:val="28"/>
        </w:rPr>
        <w:t>COMMUNICAT</w:t>
      </w:r>
      <w:r w:rsidR="00C250E9" w:rsidRPr="004A4D63">
        <w:rPr>
          <w:b/>
          <w:bCs/>
          <w:sz w:val="28"/>
          <w:szCs w:val="28"/>
        </w:rPr>
        <w:t xml:space="preserve">E </w:t>
      </w:r>
      <w:r w:rsidR="009009BE" w:rsidRPr="004A4D63">
        <w:rPr>
          <w:b/>
          <w:bCs/>
          <w:sz w:val="28"/>
          <w:szCs w:val="28"/>
        </w:rPr>
        <w:t xml:space="preserve">WITH </w:t>
      </w:r>
      <w:r w:rsidR="00D10793" w:rsidRPr="004A4D63">
        <w:rPr>
          <w:b/>
          <w:bCs/>
          <w:sz w:val="28"/>
          <w:szCs w:val="28"/>
        </w:rPr>
        <w:t xml:space="preserve">INDIVIDUAL </w:t>
      </w:r>
      <w:r w:rsidR="009009BE" w:rsidRPr="004A4D63">
        <w:rPr>
          <w:b/>
          <w:bCs/>
          <w:sz w:val="28"/>
          <w:szCs w:val="28"/>
        </w:rPr>
        <w:t xml:space="preserve">AGENCY </w:t>
      </w:r>
      <w:r w:rsidR="001D72FA" w:rsidRPr="004A4D63">
        <w:rPr>
          <w:b/>
          <w:bCs/>
          <w:sz w:val="28"/>
          <w:szCs w:val="28"/>
        </w:rPr>
        <w:t>MEMBERS</w:t>
      </w:r>
    </w:p>
    <w:p w14:paraId="376C2BDE" w14:textId="0A64E9B7" w:rsidR="0006125F" w:rsidRPr="004A4D63" w:rsidRDefault="0006125F" w:rsidP="0065383A">
      <w:pPr>
        <w:spacing w:line="480" w:lineRule="auto"/>
        <w:rPr>
          <w:sz w:val="28"/>
          <w:szCs w:val="28"/>
        </w:rPr>
      </w:pPr>
      <w:r w:rsidRPr="004A4D63">
        <w:rPr>
          <w:sz w:val="28"/>
          <w:szCs w:val="28"/>
        </w:rPr>
        <w:tab/>
      </w:r>
      <w:r w:rsidR="001D72FA" w:rsidRPr="004A4D63">
        <w:rPr>
          <w:sz w:val="28"/>
          <w:szCs w:val="28"/>
        </w:rPr>
        <w:t>Several agencies permit targets to communicate with the agency heads prior to the</w:t>
      </w:r>
      <w:r w:rsidR="00B51E27" w:rsidRPr="004A4D63">
        <w:rPr>
          <w:sz w:val="28"/>
          <w:szCs w:val="28"/>
        </w:rPr>
        <w:t xml:space="preserve">ir </w:t>
      </w:r>
      <w:r w:rsidR="001D72FA" w:rsidRPr="004A4D63">
        <w:rPr>
          <w:sz w:val="28"/>
          <w:szCs w:val="28"/>
        </w:rPr>
        <w:t xml:space="preserve">greenlighting decision. </w:t>
      </w:r>
      <w:r w:rsidRPr="004A4D63">
        <w:rPr>
          <w:sz w:val="28"/>
          <w:szCs w:val="28"/>
        </w:rPr>
        <w:t>A</w:t>
      </w:r>
      <w:r w:rsidR="00060441">
        <w:rPr>
          <w:sz w:val="28"/>
          <w:szCs w:val="28"/>
        </w:rPr>
        <w:t xml:space="preserve">fter </w:t>
      </w:r>
      <w:r w:rsidRPr="004A4D63">
        <w:rPr>
          <w:sz w:val="28"/>
          <w:szCs w:val="28"/>
        </w:rPr>
        <w:t xml:space="preserve">the FTC staff </w:t>
      </w:r>
      <w:r w:rsidR="00D8096C" w:rsidRPr="004A4D63">
        <w:rPr>
          <w:sz w:val="28"/>
          <w:szCs w:val="28"/>
        </w:rPr>
        <w:t xml:space="preserve">recommends issuance of a </w:t>
      </w:r>
      <w:r w:rsidRPr="004A4D63">
        <w:rPr>
          <w:sz w:val="28"/>
          <w:szCs w:val="28"/>
        </w:rPr>
        <w:t xml:space="preserve">complaint, the target is entitled to meet separately with each of the five commissioners </w:t>
      </w:r>
      <w:r w:rsidR="00060441">
        <w:rPr>
          <w:sz w:val="28"/>
          <w:szCs w:val="28"/>
        </w:rPr>
        <w:t>in order t</w:t>
      </w:r>
      <w:r w:rsidRPr="004A4D63">
        <w:rPr>
          <w:sz w:val="28"/>
          <w:szCs w:val="28"/>
        </w:rPr>
        <w:t xml:space="preserve">o attempt to dissuade them from </w:t>
      </w:r>
      <w:r w:rsidR="00714113" w:rsidRPr="004A4D63">
        <w:rPr>
          <w:sz w:val="28"/>
          <w:szCs w:val="28"/>
        </w:rPr>
        <w:t xml:space="preserve">greenlighting </w:t>
      </w:r>
      <w:r w:rsidRPr="004A4D63">
        <w:rPr>
          <w:sz w:val="28"/>
          <w:szCs w:val="28"/>
        </w:rPr>
        <w:t xml:space="preserve">the complaint.  Commission staff are usually present at these meetings.  Because no complaint has issued, the APA’s ban on </w:t>
      </w:r>
      <w:r w:rsidR="001D72FA" w:rsidRPr="004A4D63">
        <w:rPr>
          <w:sz w:val="28"/>
          <w:szCs w:val="28"/>
        </w:rPr>
        <w:t xml:space="preserve">outsider </w:t>
      </w:r>
      <w:r w:rsidRPr="004A4D63">
        <w:rPr>
          <w:sz w:val="28"/>
          <w:szCs w:val="28"/>
        </w:rPr>
        <w:t>ex parte communications</w:t>
      </w:r>
      <w:r w:rsidR="001D72FA" w:rsidRPr="004A4D63">
        <w:rPr>
          <w:sz w:val="28"/>
          <w:szCs w:val="28"/>
        </w:rPr>
        <w:t xml:space="preserve"> to agency decisionmakers</w:t>
      </w:r>
      <w:r w:rsidR="00073EC3" w:rsidRPr="004A4D63">
        <w:rPr>
          <w:rStyle w:val="FootnoteReference"/>
          <w:sz w:val="28"/>
          <w:szCs w:val="28"/>
        </w:rPr>
        <w:footnoteReference w:id="158"/>
      </w:r>
      <w:r w:rsidRPr="004A4D63">
        <w:rPr>
          <w:sz w:val="28"/>
          <w:szCs w:val="28"/>
        </w:rPr>
        <w:t xml:space="preserve"> is not applicable.  </w:t>
      </w:r>
      <w:r w:rsidR="00A90082" w:rsidRPr="004A4D63">
        <w:rPr>
          <w:sz w:val="28"/>
          <w:szCs w:val="28"/>
        </w:rPr>
        <w:t xml:space="preserve">A similar practice </w:t>
      </w:r>
      <w:r w:rsidR="001D72FA" w:rsidRPr="004A4D63">
        <w:rPr>
          <w:sz w:val="28"/>
          <w:szCs w:val="28"/>
        </w:rPr>
        <w:t xml:space="preserve">of meetings between targets and commissioners </w:t>
      </w:r>
      <w:r w:rsidR="00A90082" w:rsidRPr="004A4D63">
        <w:rPr>
          <w:sz w:val="28"/>
          <w:szCs w:val="28"/>
        </w:rPr>
        <w:t>exists at the FCC</w:t>
      </w:r>
      <w:r w:rsidR="001667E8" w:rsidRPr="004A4D63">
        <w:rPr>
          <w:sz w:val="28"/>
          <w:szCs w:val="28"/>
        </w:rPr>
        <w:t xml:space="preserve"> but is employed less often</w:t>
      </w:r>
      <w:r w:rsidR="001D72FA" w:rsidRPr="004A4D63">
        <w:rPr>
          <w:sz w:val="28"/>
          <w:szCs w:val="28"/>
        </w:rPr>
        <w:t xml:space="preserve"> than at the FTC</w:t>
      </w:r>
      <w:r w:rsidR="001667E8" w:rsidRPr="004A4D63">
        <w:rPr>
          <w:sz w:val="28"/>
          <w:szCs w:val="28"/>
        </w:rPr>
        <w:t>.</w:t>
      </w:r>
      <w:r w:rsidR="00FF72B4" w:rsidRPr="004A4D63">
        <w:rPr>
          <w:rStyle w:val="FootnoteReference"/>
          <w:sz w:val="28"/>
          <w:szCs w:val="28"/>
        </w:rPr>
        <w:footnoteReference w:id="159"/>
      </w:r>
      <w:r w:rsidR="001667E8" w:rsidRPr="004A4D63">
        <w:rPr>
          <w:sz w:val="28"/>
          <w:szCs w:val="28"/>
        </w:rPr>
        <w:t xml:space="preserve"> </w:t>
      </w:r>
    </w:p>
    <w:p w14:paraId="6D7AA1F9" w14:textId="4033108A" w:rsidR="0006125F" w:rsidRPr="004A4D63" w:rsidRDefault="008D754C" w:rsidP="0065383A">
      <w:pPr>
        <w:spacing w:line="480" w:lineRule="auto"/>
        <w:rPr>
          <w:sz w:val="28"/>
          <w:szCs w:val="28"/>
        </w:rPr>
      </w:pPr>
      <w:r w:rsidRPr="004A4D63">
        <w:rPr>
          <w:sz w:val="28"/>
          <w:szCs w:val="28"/>
        </w:rPr>
        <w:tab/>
      </w:r>
      <w:r w:rsidR="00B51E27" w:rsidRPr="004A4D63">
        <w:rPr>
          <w:sz w:val="28"/>
          <w:szCs w:val="28"/>
        </w:rPr>
        <w:t xml:space="preserve">Several </w:t>
      </w:r>
      <w:r w:rsidR="00E62030" w:rsidRPr="004A4D63">
        <w:rPr>
          <w:sz w:val="28"/>
          <w:szCs w:val="28"/>
        </w:rPr>
        <w:t>FTC interviewees</w:t>
      </w:r>
      <w:r w:rsidR="00B51E27" w:rsidRPr="004A4D63">
        <w:rPr>
          <w:sz w:val="28"/>
          <w:szCs w:val="28"/>
        </w:rPr>
        <w:t xml:space="preserve"> support </w:t>
      </w:r>
      <w:r w:rsidRPr="004A4D63">
        <w:rPr>
          <w:sz w:val="28"/>
          <w:szCs w:val="28"/>
        </w:rPr>
        <w:t>the FTC ex parte meeting procedure.</w:t>
      </w:r>
      <w:r w:rsidR="00073EC3" w:rsidRPr="004A4D63">
        <w:rPr>
          <w:rStyle w:val="FootnoteReference"/>
          <w:sz w:val="28"/>
          <w:szCs w:val="28"/>
        </w:rPr>
        <w:footnoteReference w:id="160"/>
      </w:r>
      <w:r w:rsidRPr="004A4D63">
        <w:rPr>
          <w:sz w:val="28"/>
          <w:szCs w:val="28"/>
        </w:rPr>
        <w:t xml:space="preserve"> </w:t>
      </w:r>
      <w:r w:rsidR="000C09B6" w:rsidRPr="004A4D63">
        <w:rPr>
          <w:sz w:val="28"/>
          <w:szCs w:val="28"/>
        </w:rPr>
        <w:t xml:space="preserve">Former </w:t>
      </w:r>
      <w:r w:rsidR="00B51E27" w:rsidRPr="004A4D63">
        <w:rPr>
          <w:sz w:val="28"/>
          <w:szCs w:val="28"/>
        </w:rPr>
        <w:t xml:space="preserve">FTC commissioners </w:t>
      </w:r>
      <w:r w:rsidR="000C09B6" w:rsidRPr="004A4D63">
        <w:rPr>
          <w:sz w:val="28"/>
          <w:szCs w:val="28"/>
        </w:rPr>
        <w:t>found these meetings enlightening</w:t>
      </w:r>
      <w:r w:rsidR="00B51E27" w:rsidRPr="004A4D63">
        <w:rPr>
          <w:sz w:val="28"/>
          <w:szCs w:val="28"/>
        </w:rPr>
        <w:t xml:space="preserve">, </w:t>
      </w:r>
      <w:r w:rsidR="000C09B6" w:rsidRPr="004A4D63">
        <w:rPr>
          <w:sz w:val="28"/>
          <w:szCs w:val="28"/>
        </w:rPr>
        <w:t xml:space="preserve">since they are </w:t>
      </w:r>
      <w:r w:rsidR="00D816A1" w:rsidRPr="004A4D63">
        <w:rPr>
          <w:sz w:val="28"/>
          <w:szCs w:val="28"/>
        </w:rPr>
        <w:t xml:space="preserve">otherwise </w:t>
      </w:r>
      <w:r w:rsidR="000C09B6" w:rsidRPr="004A4D63">
        <w:rPr>
          <w:sz w:val="28"/>
          <w:szCs w:val="28"/>
        </w:rPr>
        <w:t>exposed mostly to the staff’s arguments</w:t>
      </w:r>
      <w:r w:rsidR="00671FED" w:rsidRPr="004A4D63">
        <w:rPr>
          <w:sz w:val="28"/>
          <w:szCs w:val="28"/>
        </w:rPr>
        <w:t xml:space="preserve"> before greenlight</w:t>
      </w:r>
      <w:r w:rsidR="00B51E27" w:rsidRPr="004A4D63">
        <w:rPr>
          <w:sz w:val="28"/>
          <w:szCs w:val="28"/>
        </w:rPr>
        <w:t>ing</w:t>
      </w:r>
      <w:r w:rsidR="00671FED" w:rsidRPr="004A4D63">
        <w:rPr>
          <w:sz w:val="28"/>
          <w:szCs w:val="28"/>
        </w:rPr>
        <w:t xml:space="preserve"> the </w:t>
      </w:r>
      <w:r w:rsidR="00671FED" w:rsidRPr="004A4D63">
        <w:rPr>
          <w:sz w:val="28"/>
          <w:szCs w:val="28"/>
        </w:rPr>
        <w:lastRenderedPageBreak/>
        <w:t>complaint</w:t>
      </w:r>
      <w:r w:rsidR="000C09B6" w:rsidRPr="004A4D63">
        <w:rPr>
          <w:sz w:val="28"/>
          <w:szCs w:val="28"/>
        </w:rPr>
        <w:t>.</w:t>
      </w:r>
      <w:r w:rsidR="00073EC3" w:rsidRPr="004A4D63">
        <w:rPr>
          <w:rStyle w:val="FootnoteReference"/>
          <w:sz w:val="28"/>
          <w:szCs w:val="28"/>
        </w:rPr>
        <w:footnoteReference w:id="161"/>
      </w:r>
      <w:r w:rsidR="000C09B6" w:rsidRPr="004A4D63">
        <w:rPr>
          <w:sz w:val="28"/>
          <w:szCs w:val="28"/>
        </w:rPr>
        <w:t xml:space="preserve"> The meetings tend to offset criticisms that the commissioners are out of touch and removed from practicalities.</w:t>
      </w:r>
      <w:r w:rsidR="00073EC3" w:rsidRPr="004A4D63">
        <w:rPr>
          <w:rStyle w:val="FootnoteReference"/>
          <w:sz w:val="28"/>
          <w:szCs w:val="28"/>
        </w:rPr>
        <w:footnoteReference w:id="162"/>
      </w:r>
      <w:r w:rsidR="000C09B6" w:rsidRPr="004A4D63">
        <w:rPr>
          <w:sz w:val="28"/>
          <w:szCs w:val="28"/>
        </w:rPr>
        <w:t xml:space="preserve"> </w:t>
      </w:r>
      <w:r w:rsidR="00B51E27" w:rsidRPr="004A4D63">
        <w:rPr>
          <w:sz w:val="28"/>
          <w:szCs w:val="28"/>
        </w:rPr>
        <w:t>Some p</w:t>
      </w:r>
      <w:r w:rsidRPr="004A4D63">
        <w:rPr>
          <w:sz w:val="28"/>
          <w:szCs w:val="28"/>
        </w:rPr>
        <w:t>rivate lawyers (including former FTC staff) think the</w:t>
      </w:r>
      <w:r w:rsidR="00200638" w:rsidRPr="004A4D63">
        <w:rPr>
          <w:sz w:val="28"/>
          <w:szCs w:val="28"/>
        </w:rPr>
        <w:t xml:space="preserve"> meetings </w:t>
      </w:r>
      <w:r w:rsidRPr="004A4D63">
        <w:rPr>
          <w:sz w:val="28"/>
          <w:szCs w:val="28"/>
        </w:rPr>
        <w:t xml:space="preserve">can be </w:t>
      </w:r>
      <w:r w:rsidR="0014512D" w:rsidRPr="004A4D63">
        <w:rPr>
          <w:sz w:val="28"/>
          <w:szCs w:val="28"/>
        </w:rPr>
        <w:t xml:space="preserve">a </w:t>
      </w:r>
      <w:r w:rsidRPr="004A4D63">
        <w:rPr>
          <w:sz w:val="28"/>
          <w:szCs w:val="28"/>
        </w:rPr>
        <w:t xml:space="preserve">useful </w:t>
      </w:r>
      <w:r w:rsidR="0014512D" w:rsidRPr="004A4D63">
        <w:rPr>
          <w:sz w:val="28"/>
          <w:szCs w:val="28"/>
        </w:rPr>
        <w:t xml:space="preserve">vehicle to </w:t>
      </w:r>
      <w:r w:rsidRPr="004A4D63">
        <w:rPr>
          <w:sz w:val="28"/>
          <w:szCs w:val="28"/>
        </w:rPr>
        <w:t>persuad</w:t>
      </w:r>
      <w:r w:rsidR="0014512D" w:rsidRPr="004A4D63">
        <w:rPr>
          <w:sz w:val="28"/>
          <w:szCs w:val="28"/>
        </w:rPr>
        <w:t>e</w:t>
      </w:r>
      <w:r w:rsidRPr="004A4D63">
        <w:rPr>
          <w:sz w:val="28"/>
          <w:szCs w:val="28"/>
        </w:rPr>
        <w:t xml:space="preserve"> a commissioner that </w:t>
      </w:r>
      <w:r w:rsidR="00945742" w:rsidRPr="004A4D63">
        <w:rPr>
          <w:sz w:val="28"/>
          <w:szCs w:val="28"/>
        </w:rPr>
        <w:t>the case is weaker than the staff says it is.</w:t>
      </w:r>
      <w:r w:rsidR="00073EC3" w:rsidRPr="004A4D63">
        <w:rPr>
          <w:rStyle w:val="FootnoteReference"/>
          <w:sz w:val="28"/>
          <w:szCs w:val="28"/>
        </w:rPr>
        <w:footnoteReference w:id="163"/>
      </w:r>
      <w:r w:rsidR="00073EC3" w:rsidRPr="004A4D63">
        <w:rPr>
          <w:sz w:val="28"/>
          <w:szCs w:val="28"/>
        </w:rPr>
        <w:t xml:space="preserve"> </w:t>
      </w:r>
      <w:r w:rsidRPr="004A4D63">
        <w:rPr>
          <w:sz w:val="28"/>
          <w:szCs w:val="28"/>
        </w:rPr>
        <w:t>At times, the commissioners can broker settlements</w:t>
      </w:r>
      <w:r w:rsidR="00112A29" w:rsidRPr="004A4D63">
        <w:rPr>
          <w:sz w:val="28"/>
          <w:szCs w:val="28"/>
        </w:rPr>
        <w:t>.</w:t>
      </w:r>
      <w:r w:rsidRPr="004A4D63">
        <w:rPr>
          <w:sz w:val="28"/>
          <w:szCs w:val="28"/>
        </w:rPr>
        <w:t xml:space="preserve"> Other private lawyers refer to the</w:t>
      </w:r>
      <w:r w:rsidR="005C5D9F" w:rsidRPr="004A4D63">
        <w:rPr>
          <w:sz w:val="28"/>
          <w:szCs w:val="28"/>
        </w:rPr>
        <w:t xml:space="preserve"> FTC </w:t>
      </w:r>
      <w:r w:rsidRPr="004A4D63">
        <w:rPr>
          <w:sz w:val="28"/>
          <w:szCs w:val="28"/>
        </w:rPr>
        <w:t xml:space="preserve">meetings as “last rites” and think they are a </w:t>
      </w:r>
      <w:r w:rsidR="00D17B24" w:rsidRPr="004A4D63">
        <w:rPr>
          <w:sz w:val="28"/>
          <w:szCs w:val="28"/>
        </w:rPr>
        <w:t xml:space="preserve">costly </w:t>
      </w:r>
      <w:r w:rsidRPr="004A4D63">
        <w:rPr>
          <w:sz w:val="28"/>
          <w:szCs w:val="28"/>
        </w:rPr>
        <w:t>waste of time.</w:t>
      </w:r>
      <w:r w:rsidR="00073EC3" w:rsidRPr="004A4D63">
        <w:rPr>
          <w:rStyle w:val="FootnoteReference"/>
          <w:sz w:val="28"/>
          <w:szCs w:val="28"/>
        </w:rPr>
        <w:footnoteReference w:id="164"/>
      </w:r>
      <w:r w:rsidR="00A90082" w:rsidRPr="004A4D63">
        <w:rPr>
          <w:sz w:val="28"/>
          <w:szCs w:val="28"/>
        </w:rPr>
        <w:t xml:space="preserve"> </w:t>
      </w:r>
      <w:r w:rsidR="00705FC9" w:rsidRPr="004A4D63">
        <w:rPr>
          <w:sz w:val="28"/>
          <w:szCs w:val="28"/>
        </w:rPr>
        <w:t xml:space="preserve"> My interviewees were </w:t>
      </w:r>
      <w:r w:rsidR="00FF72B4" w:rsidRPr="004A4D63">
        <w:rPr>
          <w:sz w:val="28"/>
          <w:szCs w:val="28"/>
        </w:rPr>
        <w:t xml:space="preserve">also </w:t>
      </w:r>
      <w:r w:rsidR="00705FC9" w:rsidRPr="004A4D63">
        <w:rPr>
          <w:sz w:val="28"/>
          <w:szCs w:val="28"/>
        </w:rPr>
        <w:t xml:space="preserve">skeptical about the value of </w:t>
      </w:r>
      <w:r w:rsidR="001667E8" w:rsidRPr="004A4D63">
        <w:rPr>
          <w:sz w:val="28"/>
          <w:szCs w:val="28"/>
        </w:rPr>
        <w:t xml:space="preserve">meetings between targets and </w:t>
      </w:r>
      <w:r w:rsidR="005C5D9F" w:rsidRPr="004A4D63">
        <w:rPr>
          <w:sz w:val="28"/>
          <w:szCs w:val="28"/>
        </w:rPr>
        <w:t xml:space="preserve">FCC </w:t>
      </w:r>
      <w:r w:rsidR="001667E8" w:rsidRPr="004A4D63">
        <w:rPr>
          <w:sz w:val="28"/>
          <w:szCs w:val="28"/>
        </w:rPr>
        <w:t>commissioners which were regarded as useless.</w:t>
      </w:r>
      <w:r w:rsidR="001667E8" w:rsidRPr="004A4D63">
        <w:rPr>
          <w:rStyle w:val="FootnoteReference"/>
          <w:sz w:val="28"/>
          <w:szCs w:val="28"/>
        </w:rPr>
        <w:footnoteReference w:id="165"/>
      </w:r>
      <w:r w:rsidR="001667E8" w:rsidRPr="004A4D63">
        <w:rPr>
          <w:sz w:val="28"/>
          <w:szCs w:val="28"/>
        </w:rPr>
        <w:t xml:space="preserve"> </w:t>
      </w:r>
      <w:r w:rsidR="00705FC9" w:rsidRPr="004A4D63">
        <w:rPr>
          <w:sz w:val="28"/>
          <w:szCs w:val="28"/>
        </w:rPr>
        <w:tab/>
      </w:r>
    </w:p>
    <w:p w14:paraId="7F592F4C" w14:textId="40B357B7" w:rsidR="00494013" w:rsidRPr="004A4D63" w:rsidRDefault="0006125F" w:rsidP="0065383A">
      <w:pPr>
        <w:spacing w:line="480" w:lineRule="auto"/>
        <w:rPr>
          <w:sz w:val="28"/>
          <w:szCs w:val="28"/>
        </w:rPr>
      </w:pPr>
      <w:r w:rsidRPr="004A4D63">
        <w:rPr>
          <w:sz w:val="28"/>
          <w:szCs w:val="28"/>
        </w:rPr>
        <w:tab/>
      </w:r>
      <w:r w:rsidR="005A423E" w:rsidRPr="004A4D63">
        <w:rPr>
          <w:sz w:val="28"/>
          <w:szCs w:val="28"/>
        </w:rPr>
        <w:t xml:space="preserve">Staff members and former </w:t>
      </w:r>
      <w:r w:rsidR="00494013" w:rsidRPr="004A4D63">
        <w:rPr>
          <w:sz w:val="28"/>
          <w:szCs w:val="28"/>
        </w:rPr>
        <w:t xml:space="preserve">heads </w:t>
      </w:r>
      <w:r w:rsidR="005A423E" w:rsidRPr="004A4D63">
        <w:rPr>
          <w:sz w:val="28"/>
          <w:szCs w:val="28"/>
        </w:rPr>
        <w:t xml:space="preserve">at other agencies were unenthusiastic about the FTC’s </w:t>
      </w:r>
      <w:r w:rsidR="00A90082" w:rsidRPr="004A4D63">
        <w:rPr>
          <w:sz w:val="28"/>
          <w:szCs w:val="28"/>
        </w:rPr>
        <w:t xml:space="preserve">and FCC’s </w:t>
      </w:r>
      <w:r w:rsidR="005A423E" w:rsidRPr="004A4D63">
        <w:rPr>
          <w:sz w:val="28"/>
          <w:szCs w:val="28"/>
        </w:rPr>
        <w:t>one-on-one practice.</w:t>
      </w:r>
      <w:r w:rsidR="00073EC3" w:rsidRPr="004A4D63">
        <w:rPr>
          <w:rStyle w:val="FootnoteReference"/>
          <w:sz w:val="28"/>
          <w:szCs w:val="28"/>
        </w:rPr>
        <w:footnoteReference w:id="166"/>
      </w:r>
      <w:r w:rsidR="005A423E" w:rsidRPr="004A4D63">
        <w:rPr>
          <w:sz w:val="28"/>
          <w:szCs w:val="28"/>
        </w:rPr>
        <w:t xml:space="preserve">  I agree with their criticisms. These meetings </w:t>
      </w:r>
      <w:r w:rsidRPr="004A4D63">
        <w:rPr>
          <w:sz w:val="28"/>
          <w:szCs w:val="28"/>
        </w:rPr>
        <w:t>seem wasteful of the precious time of the</w:t>
      </w:r>
      <w:r w:rsidR="00494013" w:rsidRPr="004A4D63">
        <w:rPr>
          <w:sz w:val="28"/>
          <w:szCs w:val="28"/>
        </w:rPr>
        <w:t xml:space="preserve"> agency heads </w:t>
      </w:r>
      <w:r w:rsidRPr="004A4D63">
        <w:rPr>
          <w:sz w:val="28"/>
          <w:szCs w:val="28"/>
        </w:rPr>
        <w:t>and of staff members who sit in on them</w:t>
      </w:r>
      <w:r w:rsidR="00494013" w:rsidRPr="004A4D63">
        <w:rPr>
          <w:sz w:val="28"/>
          <w:szCs w:val="28"/>
        </w:rPr>
        <w:t>.</w:t>
      </w:r>
      <w:r w:rsidR="00DD24BB" w:rsidRPr="004A4D63">
        <w:rPr>
          <w:rStyle w:val="FootnoteReference"/>
          <w:sz w:val="28"/>
          <w:szCs w:val="28"/>
        </w:rPr>
        <w:footnoteReference w:id="167"/>
      </w:r>
      <w:r w:rsidRPr="004A4D63">
        <w:rPr>
          <w:sz w:val="28"/>
          <w:szCs w:val="28"/>
        </w:rPr>
        <w:t xml:space="preserve"> </w:t>
      </w:r>
      <w:r w:rsidR="00D17B24" w:rsidRPr="004A4D63">
        <w:rPr>
          <w:sz w:val="28"/>
          <w:szCs w:val="28"/>
        </w:rPr>
        <w:t xml:space="preserve">The process is </w:t>
      </w:r>
      <w:r w:rsidRPr="004A4D63">
        <w:rPr>
          <w:sz w:val="28"/>
          <w:szCs w:val="28"/>
        </w:rPr>
        <w:t xml:space="preserve">costly for clients who must pay their lawyers to engage in </w:t>
      </w:r>
      <w:r w:rsidR="004E7416" w:rsidRPr="004A4D63">
        <w:rPr>
          <w:sz w:val="28"/>
          <w:szCs w:val="28"/>
        </w:rPr>
        <w:t xml:space="preserve">numerous </w:t>
      </w:r>
      <w:r w:rsidR="00DD24BB" w:rsidRPr="004A4D63">
        <w:rPr>
          <w:sz w:val="28"/>
          <w:szCs w:val="28"/>
        </w:rPr>
        <w:t>s</w:t>
      </w:r>
      <w:r w:rsidR="005A423E" w:rsidRPr="004A4D63">
        <w:rPr>
          <w:sz w:val="28"/>
          <w:szCs w:val="28"/>
        </w:rPr>
        <w:t xml:space="preserve">eparate </w:t>
      </w:r>
      <w:r w:rsidRPr="004A4D63">
        <w:rPr>
          <w:sz w:val="28"/>
          <w:szCs w:val="28"/>
        </w:rPr>
        <w:t xml:space="preserve">meetings, even though </w:t>
      </w:r>
      <w:r w:rsidR="005A423E" w:rsidRPr="004A4D63">
        <w:rPr>
          <w:sz w:val="28"/>
          <w:szCs w:val="28"/>
        </w:rPr>
        <w:t xml:space="preserve">it is unlikely that the meetings will </w:t>
      </w:r>
      <w:r w:rsidR="00A90B5B" w:rsidRPr="004A4D63">
        <w:rPr>
          <w:sz w:val="28"/>
          <w:szCs w:val="28"/>
        </w:rPr>
        <w:t xml:space="preserve">have much practical impact. </w:t>
      </w:r>
      <w:r w:rsidR="00945742" w:rsidRPr="004A4D63">
        <w:rPr>
          <w:sz w:val="28"/>
          <w:szCs w:val="28"/>
        </w:rPr>
        <w:t>The</w:t>
      </w:r>
      <w:r w:rsidR="005A423E" w:rsidRPr="004A4D63">
        <w:rPr>
          <w:sz w:val="28"/>
          <w:szCs w:val="28"/>
        </w:rPr>
        <w:t xml:space="preserve"> meetings </w:t>
      </w:r>
      <w:r w:rsidR="00945742" w:rsidRPr="004A4D63">
        <w:rPr>
          <w:sz w:val="28"/>
          <w:szCs w:val="28"/>
        </w:rPr>
        <w:t xml:space="preserve">can </w:t>
      </w:r>
      <w:r w:rsidR="0014512D" w:rsidRPr="004A4D63">
        <w:rPr>
          <w:sz w:val="28"/>
          <w:szCs w:val="28"/>
        </w:rPr>
        <w:t xml:space="preserve">worsen </w:t>
      </w:r>
      <w:r w:rsidR="00945742" w:rsidRPr="004A4D63">
        <w:rPr>
          <w:sz w:val="28"/>
          <w:szCs w:val="28"/>
        </w:rPr>
        <w:t xml:space="preserve">confirmation bias because the </w:t>
      </w:r>
      <w:r w:rsidR="00494013" w:rsidRPr="004A4D63">
        <w:rPr>
          <w:sz w:val="28"/>
          <w:szCs w:val="28"/>
        </w:rPr>
        <w:t xml:space="preserve">heads </w:t>
      </w:r>
      <w:r w:rsidR="00A90B5B" w:rsidRPr="004A4D63">
        <w:rPr>
          <w:sz w:val="28"/>
          <w:szCs w:val="28"/>
        </w:rPr>
        <w:t>learn</w:t>
      </w:r>
      <w:r w:rsidR="00945742" w:rsidRPr="004A4D63">
        <w:rPr>
          <w:sz w:val="28"/>
          <w:szCs w:val="28"/>
        </w:rPr>
        <w:t xml:space="preserve"> </w:t>
      </w:r>
      <w:r w:rsidR="00AF7DD6" w:rsidRPr="004A4D63">
        <w:rPr>
          <w:sz w:val="28"/>
          <w:szCs w:val="28"/>
        </w:rPr>
        <w:t xml:space="preserve">still </w:t>
      </w:r>
      <w:r w:rsidR="00945742" w:rsidRPr="004A4D63">
        <w:rPr>
          <w:sz w:val="28"/>
          <w:szCs w:val="28"/>
        </w:rPr>
        <w:t>more about the case</w:t>
      </w:r>
      <w:r w:rsidR="00A90B5B" w:rsidRPr="004A4D63">
        <w:rPr>
          <w:sz w:val="28"/>
          <w:szCs w:val="28"/>
        </w:rPr>
        <w:t xml:space="preserve"> at the pre-complaint stage</w:t>
      </w:r>
      <w:r w:rsidR="00494013" w:rsidRPr="004A4D63">
        <w:rPr>
          <w:sz w:val="28"/>
          <w:szCs w:val="28"/>
        </w:rPr>
        <w:t xml:space="preserve">, including material that </w:t>
      </w:r>
      <w:r w:rsidR="00D17B24" w:rsidRPr="004A4D63">
        <w:rPr>
          <w:sz w:val="28"/>
          <w:szCs w:val="28"/>
        </w:rPr>
        <w:t xml:space="preserve">might </w:t>
      </w:r>
      <w:r w:rsidR="00494013" w:rsidRPr="004A4D63">
        <w:rPr>
          <w:sz w:val="28"/>
          <w:szCs w:val="28"/>
        </w:rPr>
        <w:t>never be</w:t>
      </w:r>
      <w:r w:rsidR="00D17B24" w:rsidRPr="004A4D63">
        <w:rPr>
          <w:sz w:val="28"/>
          <w:szCs w:val="28"/>
        </w:rPr>
        <w:t>come part of the record.</w:t>
      </w:r>
      <w:r w:rsidR="004D6ED8" w:rsidRPr="004A4D63">
        <w:rPr>
          <w:rStyle w:val="FootnoteReference"/>
          <w:sz w:val="28"/>
          <w:szCs w:val="28"/>
        </w:rPr>
        <w:footnoteReference w:id="168"/>
      </w:r>
      <w:r w:rsidRPr="004A4D63">
        <w:rPr>
          <w:sz w:val="28"/>
          <w:szCs w:val="28"/>
        </w:rPr>
        <w:t xml:space="preserve"> </w:t>
      </w:r>
    </w:p>
    <w:p w14:paraId="4B731EEB" w14:textId="1FF06186" w:rsidR="00494013" w:rsidRPr="004A4D63" w:rsidRDefault="00494013" w:rsidP="003F0082">
      <w:pPr>
        <w:spacing w:line="480" w:lineRule="auto"/>
        <w:rPr>
          <w:sz w:val="28"/>
          <w:szCs w:val="28"/>
        </w:rPr>
      </w:pPr>
      <w:r w:rsidRPr="004A4D63">
        <w:rPr>
          <w:sz w:val="28"/>
          <w:szCs w:val="28"/>
        </w:rPr>
        <w:lastRenderedPageBreak/>
        <w:tab/>
        <w:t xml:space="preserve">FERC </w:t>
      </w:r>
      <w:r w:rsidR="00541D75" w:rsidRPr="004A4D63">
        <w:rPr>
          <w:sz w:val="28"/>
          <w:szCs w:val="28"/>
        </w:rPr>
        <w:t xml:space="preserve">permits </w:t>
      </w:r>
      <w:r w:rsidR="002E1007">
        <w:rPr>
          <w:sz w:val="28"/>
          <w:szCs w:val="28"/>
        </w:rPr>
        <w:t>t</w:t>
      </w:r>
      <w:r w:rsidR="00603415" w:rsidRPr="004A4D63">
        <w:rPr>
          <w:sz w:val="28"/>
          <w:szCs w:val="28"/>
        </w:rPr>
        <w:t xml:space="preserve">argets to </w:t>
      </w:r>
      <w:r w:rsidRPr="004A4D63">
        <w:rPr>
          <w:sz w:val="28"/>
          <w:szCs w:val="28"/>
        </w:rPr>
        <w:t xml:space="preserve">submit written (but not oral) communications to the agency heads </w:t>
      </w:r>
      <w:r w:rsidR="00DF0965" w:rsidRPr="004A4D63">
        <w:rPr>
          <w:sz w:val="28"/>
          <w:szCs w:val="28"/>
        </w:rPr>
        <w:t>during the investigation process</w:t>
      </w:r>
      <w:r w:rsidR="00D2032E" w:rsidRPr="004A4D63">
        <w:rPr>
          <w:sz w:val="28"/>
          <w:szCs w:val="28"/>
        </w:rPr>
        <w:t>.</w:t>
      </w:r>
      <w:r w:rsidRPr="004A4D63">
        <w:rPr>
          <w:sz w:val="28"/>
          <w:szCs w:val="28"/>
        </w:rPr>
        <w:t xml:space="preserve"> This approach</w:t>
      </w:r>
      <w:r w:rsidR="00DF0965" w:rsidRPr="004A4D63">
        <w:rPr>
          <w:sz w:val="28"/>
          <w:szCs w:val="28"/>
        </w:rPr>
        <w:t xml:space="preserve"> (a holdover from prior practice existing before the FERC </w:t>
      </w:r>
      <w:r w:rsidR="0014512D" w:rsidRPr="004A4D63">
        <w:rPr>
          <w:sz w:val="28"/>
          <w:szCs w:val="28"/>
        </w:rPr>
        <w:t xml:space="preserve">acquired </w:t>
      </w:r>
      <w:r w:rsidR="00DF0965" w:rsidRPr="004A4D63">
        <w:rPr>
          <w:sz w:val="28"/>
          <w:szCs w:val="28"/>
        </w:rPr>
        <w:t xml:space="preserve">civil penalty authority) </w:t>
      </w:r>
      <w:r w:rsidRPr="004A4D63">
        <w:rPr>
          <w:sz w:val="28"/>
          <w:szCs w:val="28"/>
        </w:rPr>
        <w:t xml:space="preserve">is less time </w:t>
      </w:r>
      <w:r w:rsidR="00B43917" w:rsidRPr="004A4D63">
        <w:rPr>
          <w:sz w:val="28"/>
          <w:szCs w:val="28"/>
        </w:rPr>
        <w:t>consuming</w:t>
      </w:r>
      <w:r w:rsidRPr="004A4D63">
        <w:rPr>
          <w:sz w:val="28"/>
          <w:szCs w:val="28"/>
        </w:rPr>
        <w:t xml:space="preserve"> and costly than the ex parte </w:t>
      </w:r>
      <w:r w:rsidR="00060441">
        <w:rPr>
          <w:sz w:val="28"/>
          <w:szCs w:val="28"/>
        </w:rPr>
        <w:t xml:space="preserve">in-person </w:t>
      </w:r>
      <w:r w:rsidRPr="004A4D63">
        <w:rPr>
          <w:sz w:val="28"/>
          <w:szCs w:val="28"/>
        </w:rPr>
        <w:t>meetings</w:t>
      </w:r>
      <w:r w:rsidR="00A90082" w:rsidRPr="004A4D63">
        <w:rPr>
          <w:sz w:val="28"/>
          <w:szCs w:val="28"/>
        </w:rPr>
        <w:t xml:space="preserve"> </w:t>
      </w:r>
      <w:r w:rsidR="00D17B24" w:rsidRPr="004A4D63">
        <w:rPr>
          <w:sz w:val="28"/>
          <w:szCs w:val="28"/>
        </w:rPr>
        <w:t xml:space="preserve">conducted by </w:t>
      </w:r>
      <w:r w:rsidR="00A90082" w:rsidRPr="004A4D63">
        <w:rPr>
          <w:sz w:val="28"/>
          <w:szCs w:val="28"/>
        </w:rPr>
        <w:t xml:space="preserve">the FTC </w:t>
      </w:r>
      <w:r w:rsidR="0014512D" w:rsidRPr="004A4D63">
        <w:rPr>
          <w:sz w:val="28"/>
          <w:szCs w:val="28"/>
        </w:rPr>
        <w:t xml:space="preserve">and </w:t>
      </w:r>
      <w:r w:rsidR="00A90082" w:rsidRPr="004A4D63">
        <w:rPr>
          <w:sz w:val="28"/>
          <w:szCs w:val="28"/>
        </w:rPr>
        <w:t>FCC.</w:t>
      </w:r>
      <w:r w:rsidRPr="004A4D63">
        <w:rPr>
          <w:sz w:val="28"/>
          <w:szCs w:val="28"/>
        </w:rPr>
        <w:t xml:space="preserve">  </w:t>
      </w:r>
      <w:r w:rsidR="00603415" w:rsidRPr="004A4D63">
        <w:rPr>
          <w:sz w:val="28"/>
          <w:szCs w:val="28"/>
        </w:rPr>
        <w:t xml:space="preserve">Some FERC practitioners send letters </w:t>
      </w:r>
      <w:r w:rsidR="00060441">
        <w:rPr>
          <w:sz w:val="28"/>
          <w:szCs w:val="28"/>
        </w:rPr>
        <w:t xml:space="preserve">to the commissioners </w:t>
      </w:r>
      <w:r w:rsidR="00603415" w:rsidRPr="004A4D63">
        <w:rPr>
          <w:sz w:val="28"/>
          <w:szCs w:val="28"/>
        </w:rPr>
        <w:t xml:space="preserve">frequently; others never do. </w:t>
      </w:r>
      <w:r w:rsidR="00C340A0" w:rsidRPr="004A4D63">
        <w:rPr>
          <w:sz w:val="28"/>
          <w:szCs w:val="28"/>
          <w:shd w:val="clear" w:color="auto" w:fill="FFFFFF"/>
        </w:rPr>
        <w:t xml:space="preserve">Whether such communications are useful to targets or to </w:t>
      </w:r>
      <w:r w:rsidR="00603415" w:rsidRPr="004A4D63">
        <w:rPr>
          <w:sz w:val="28"/>
          <w:szCs w:val="28"/>
          <w:shd w:val="clear" w:color="auto" w:fill="FFFFFF"/>
        </w:rPr>
        <w:t xml:space="preserve">FERC </w:t>
      </w:r>
      <w:r w:rsidR="00C340A0" w:rsidRPr="004A4D63">
        <w:rPr>
          <w:sz w:val="28"/>
          <w:szCs w:val="28"/>
          <w:shd w:val="clear" w:color="auto" w:fill="FFFFFF"/>
        </w:rPr>
        <w:t xml:space="preserve">is debatable. </w:t>
      </w:r>
      <w:r w:rsidR="00370032" w:rsidRPr="004A4D63">
        <w:rPr>
          <w:sz w:val="28"/>
          <w:szCs w:val="28"/>
          <w:shd w:val="clear" w:color="auto" w:fill="FFFFFF"/>
        </w:rPr>
        <w:t xml:space="preserve">Some </w:t>
      </w:r>
      <w:r w:rsidR="00C340A0" w:rsidRPr="004A4D63">
        <w:rPr>
          <w:sz w:val="28"/>
          <w:szCs w:val="28"/>
          <w:shd w:val="clear" w:color="auto" w:fill="FFFFFF"/>
        </w:rPr>
        <w:t>interviewee</w:t>
      </w:r>
      <w:r w:rsidR="00370032" w:rsidRPr="004A4D63">
        <w:rPr>
          <w:sz w:val="28"/>
          <w:szCs w:val="28"/>
          <w:shd w:val="clear" w:color="auto" w:fill="FFFFFF"/>
        </w:rPr>
        <w:t>s</w:t>
      </w:r>
      <w:r w:rsidR="00C340A0" w:rsidRPr="004A4D63">
        <w:rPr>
          <w:sz w:val="28"/>
          <w:szCs w:val="28"/>
          <w:shd w:val="clear" w:color="auto" w:fill="FFFFFF"/>
        </w:rPr>
        <w:t xml:space="preserve"> thought that </w:t>
      </w:r>
      <w:r w:rsidR="00D17B24" w:rsidRPr="004A4D63">
        <w:rPr>
          <w:sz w:val="28"/>
          <w:szCs w:val="28"/>
          <w:shd w:val="clear" w:color="auto" w:fill="FFFFFF"/>
        </w:rPr>
        <w:t xml:space="preserve">the </w:t>
      </w:r>
      <w:r w:rsidR="00C340A0" w:rsidRPr="004A4D63">
        <w:rPr>
          <w:sz w:val="28"/>
          <w:szCs w:val="28"/>
          <w:shd w:val="clear" w:color="auto" w:fill="FFFFFF"/>
        </w:rPr>
        <w:t xml:space="preserve">letters might prompt </w:t>
      </w:r>
      <w:r w:rsidR="00D17B24" w:rsidRPr="004A4D63">
        <w:rPr>
          <w:sz w:val="28"/>
          <w:szCs w:val="28"/>
          <w:shd w:val="clear" w:color="auto" w:fill="FFFFFF"/>
        </w:rPr>
        <w:t xml:space="preserve">the recipients </w:t>
      </w:r>
      <w:r w:rsidR="00C340A0" w:rsidRPr="004A4D63">
        <w:rPr>
          <w:sz w:val="28"/>
          <w:szCs w:val="28"/>
          <w:shd w:val="clear" w:color="auto" w:fill="FFFFFF"/>
        </w:rPr>
        <w:t xml:space="preserve">to communicate with the staff to </w:t>
      </w:r>
      <w:r w:rsidR="00603415" w:rsidRPr="004A4D63">
        <w:rPr>
          <w:sz w:val="28"/>
          <w:szCs w:val="28"/>
          <w:shd w:val="clear" w:color="auto" w:fill="FFFFFF"/>
        </w:rPr>
        <w:t xml:space="preserve">better </w:t>
      </w:r>
      <w:r w:rsidR="00C340A0" w:rsidRPr="004A4D63">
        <w:rPr>
          <w:sz w:val="28"/>
          <w:szCs w:val="28"/>
          <w:shd w:val="clear" w:color="auto" w:fill="FFFFFF"/>
        </w:rPr>
        <w:t xml:space="preserve">understand the </w:t>
      </w:r>
      <w:r w:rsidR="00603415" w:rsidRPr="004A4D63">
        <w:rPr>
          <w:sz w:val="28"/>
          <w:szCs w:val="28"/>
          <w:shd w:val="clear" w:color="auto" w:fill="FFFFFF"/>
        </w:rPr>
        <w:t>issues.</w:t>
      </w:r>
      <w:r w:rsidR="00C340A0" w:rsidRPr="004A4D63">
        <w:rPr>
          <w:rStyle w:val="FootnoteReference"/>
          <w:sz w:val="28"/>
          <w:szCs w:val="28"/>
          <w:shd w:val="clear" w:color="auto" w:fill="FFFFFF"/>
        </w:rPr>
        <w:footnoteReference w:id="169"/>
      </w:r>
      <w:r w:rsidR="00C340A0" w:rsidRPr="004A4D63">
        <w:rPr>
          <w:sz w:val="28"/>
          <w:szCs w:val="28"/>
          <w:shd w:val="clear" w:color="auto" w:fill="FFFFFF"/>
        </w:rPr>
        <w:t xml:space="preserve"> Others thought the practice was counter-productive since</w:t>
      </w:r>
      <w:r w:rsidR="00D17B24" w:rsidRPr="004A4D63">
        <w:rPr>
          <w:sz w:val="28"/>
          <w:szCs w:val="28"/>
          <w:shd w:val="clear" w:color="auto" w:fill="FFFFFF"/>
        </w:rPr>
        <w:t xml:space="preserve"> such communications </w:t>
      </w:r>
      <w:r w:rsidR="00C340A0" w:rsidRPr="004A4D63">
        <w:rPr>
          <w:sz w:val="28"/>
          <w:szCs w:val="28"/>
          <w:shd w:val="clear" w:color="auto" w:fill="FFFFFF"/>
        </w:rPr>
        <w:t xml:space="preserve">might prejudice the staff against </w:t>
      </w:r>
      <w:r w:rsidR="00603415" w:rsidRPr="004A4D63">
        <w:rPr>
          <w:sz w:val="28"/>
          <w:szCs w:val="28"/>
          <w:shd w:val="clear" w:color="auto" w:fill="FFFFFF"/>
        </w:rPr>
        <w:t>a</w:t>
      </w:r>
      <w:r w:rsidR="00C340A0" w:rsidRPr="004A4D63">
        <w:rPr>
          <w:sz w:val="28"/>
          <w:szCs w:val="28"/>
          <w:shd w:val="clear" w:color="auto" w:fill="FFFFFF"/>
        </w:rPr>
        <w:t xml:space="preserve"> target that attempted to go over their heads.</w:t>
      </w:r>
      <w:r w:rsidR="00C340A0" w:rsidRPr="004A4D63">
        <w:rPr>
          <w:rStyle w:val="FootnoteReference"/>
          <w:sz w:val="28"/>
          <w:szCs w:val="28"/>
          <w:shd w:val="clear" w:color="auto" w:fill="FFFFFF"/>
        </w:rPr>
        <w:footnoteReference w:id="170"/>
      </w:r>
      <w:r w:rsidRPr="004A4D63">
        <w:rPr>
          <w:sz w:val="28"/>
          <w:szCs w:val="28"/>
        </w:rPr>
        <w:t xml:space="preserve"> </w:t>
      </w:r>
      <w:r w:rsidR="00603415" w:rsidRPr="004A4D63">
        <w:rPr>
          <w:sz w:val="28"/>
          <w:szCs w:val="28"/>
        </w:rPr>
        <w:t xml:space="preserve"> </w:t>
      </w:r>
    </w:p>
    <w:p w14:paraId="22A64DAC" w14:textId="522C9E23" w:rsidR="0006125F" w:rsidRPr="004A4D63" w:rsidRDefault="0006125F" w:rsidP="0065383A">
      <w:pPr>
        <w:spacing w:line="480" w:lineRule="auto"/>
        <w:rPr>
          <w:b/>
          <w:bCs/>
          <w:sz w:val="28"/>
          <w:szCs w:val="28"/>
        </w:rPr>
      </w:pPr>
      <w:r w:rsidRPr="004A4D63">
        <w:rPr>
          <w:b/>
          <w:bCs/>
          <w:sz w:val="28"/>
          <w:szCs w:val="28"/>
        </w:rPr>
        <w:t xml:space="preserve">C. </w:t>
      </w:r>
      <w:r w:rsidR="009009BE" w:rsidRPr="004A4D63">
        <w:rPr>
          <w:b/>
          <w:bCs/>
          <w:sz w:val="28"/>
          <w:szCs w:val="28"/>
        </w:rPr>
        <w:t xml:space="preserve">SEPARATION OF FUNCTION </w:t>
      </w:r>
      <w:r w:rsidR="00D17B24" w:rsidRPr="004A4D63">
        <w:rPr>
          <w:b/>
          <w:bCs/>
          <w:sz w:val="28"/>
          <w:szCs w:val="28"/>
        </w:rPr>
        <w:t xml:space="preserve">DURING </w:t>
      </w:r>
      <w:r w:rsidR="009009BE" w:rsidRPr="004A4D63">
        <w:rPr>
          <w:b/>
          <w:bCs/>
          <w:sz w:val="28"/>
          <w:szCs w:val="28"/>
        </w:rPr>
        <w:t>INVESTIGAT</w:t>
      </w:r>
      <w:r w:rsidR="00D17B24" w:rsidRPr="004A4D63">
        <w:rPr>
          <w:b/>
          <w:bCs/>
          <w:sz w:val="28"/>
          <w:szCs w:val="28"/>
        </w:rPr>
        <w:t xml:space="preserve">ION </w:t>
      </w:r>
    </w:p>
    <w:p w14:paraId="53B97148" w14:textId="16F80792" w:rsidR="00662EED" w:rsidRPr="004A4D63" w:rsidRDefault="0006125F" w:rsidP="0065383A">
      <w:pPr>
        <w:spacing w:line="480" w:lineRule="auto"/>
        <w:rPr>
          <w:sz w:val="28"/>
          <w:szCs w:val="28"/>
        </w:rPr>
      </w:pPr>
      <w:r w:rsidRPr="004A4D63">
        <w:rPr>
          <w:sz w:val="28"/>
          <w:szCs w:val="28"/>
        </w:rPr>
        <w:tab/>
      </w:r>
      <w:r w:rsidR="00D83FF5" w:rsidRPr="004A4D63">
        <w:rPr>
          <w:sz w:val="28"/>
          <w:szCs w:val="28"/>
        </w:rPr>
        <w:t>William Scherman</w:t>
      </w:r>
      <w:r w:rsidR="002618C5">
        <w:rPr>
          <w:sz w:val="28"/>
          <w:szCs w:val="28"/>
        </w:rPr>
        <w:t xml:space="preserve"> and his co-authors </w:t>
      </w:r>
      <w:r w:rsidR="00223CC2" w:rsidRPr="004A4D63">
        <w:rPr>
          <w:sz w:val="28"/>
          <w:szCs w:val="28"/>
        </w:rPr>
        <w:t xml:space="preserve">proposed </w:t>
      </w:r>
      <w:r w:rsidR="003F0082" w:rsidRPr="004A4D63">
        <w:rPr>
          <w:sz w:val="28"/>
          <w:szCs w:val="28"/>
        </w:rPr>
        <w:t xml:space="preserve">changes to </w:t>
      </w:r>
      <w:r w:rsidR="00B8436A" w:rsidRPr="004A4D63">
        <w:rPr>
          <w:sz w:val="28"/>
          <w:szCs w:val="28"/>
        </w:rPr>
        <w:t xml:space="preserve">FERC’s </w:t>
      </w:r>
      <w:r w:rsidR="00223CC2" w:rsidRPr="004A4D63">
        <w:rPr>
          <w:sz w:val="28"/>
          <w:szCs w:val="28"/>
        </w:rPr>
        <w:t>ex parte communication and separation of functions rules</w:t>
      </w:r>
      <w:r w:rsidR="003F0082" w:rsidRPr="004A4D63">
        <w:rPr>
          <w:sz w:val="28"/>
          <w:szCs w:val="28"/>
        </w:rPr>
        <w:t>.</w:t>
      </w:r>
      <w:r w:rsidR="00AB4720" w:rsidRPr="004A4D63">
        <w:rPr>
          <w:rStyle w:val="FootnoteReference"/>
          <w:sz w:val="28"/>
          <w:szCs w:val="28"/>
        </w:rPr>
        <w:footnoteReference w:id="171"/>
      </w:r>
      <w:r w:rsidRPr="004A4D63">
        <w:rPr>
          <w:sz w:val="28"/>
          <w:szCs w:val="28"/>
        </w:rPr>
        <w:t xml:space="preserve"> </w:t>
      </w:r>
      <w:r w:rsidR="00B8436A" w:rsidRPr="004A4D63">
        <w:rPr>
          <w:sz w:val="28"/>
          <w:szCs w:val="28"/>
        </w:rPr>
        <w:t xml:space="preserve">Under the existing FERC rules, </w:t>
      </w:r>
      <w:r w:rsidR="00223CC2" w:rsidRPr="004A4D63">
        <w:rPr>
          <w:sz w:val="28"/>
          <w:szCs w:val="28"/>
        </w:rPr>
        <w:t xml:space="preserve">as in most agencies, </w:t>
      </w:r>
      <w:r w:rsidR="00541D75" w:rsidRPr="004A4D63">
        <w:rPr>
          <w:sz w:val="28"/>
          <w:szCs w:val="28"/>
        </w:rPr>
        <w:t xml:space="preserve">ex parte communications to decisionmakers or their advisers either by outsiders or by adversarial staff members such as prosecutors and investigators are prohibited after </w:t>
      </w:r>
      <w:r w:rsidR="008673B1" w:rsidRPr="004A4D63">
        <w:rPr>
          <w:sz w:val="28"/>
          <w:szCs w:val="28"/>
        </w:rPr>
        <w:t xml:space="preserve">FERC makes a charging decision </w:t>
      </w:r>
      <w:r w:rsidR="00D83FF5" w:rsidRPr="004A4D63">
        <w:rPr>
          <w:sz w:val="28"/>
          <w:szCs w:val="28"/>
        </w:rPr>
        <w:t xml:space="preserve">by </w:t>
      </w:r>
      <w:r w:rsidR="008673B1" w:rsidRPr="004A4D63">
        <w:rPr>
          <w:sz w:val="28"/>
          <w:szCs w:val="28"/>
        </w:rPr>
        <w:t>issu</w:t>
      </w:r>
      <w:r w:rsidR="00D83FF5" w:rsidRPr="004A4D63">
        <w:rPr>
          <w:sz w:val="28"/>
          <w:szCs w:val="28"/>
        </w:rPr>
        <w:t>ing</w:t>
      </w:r>
      <w:r w:rsidR="008673B1" w:rsidRPr="004A4D63">
        <w:rPr>
          <w:sz w:val="28"/>
          <w:szCs w:val="28"/>
        </w:rPr>
        <w:t xml:space="preserve"> </w:t>
      </w:r>
      <w:r w:rsidR="008673B1" w:rsidRPr="004A4D63">
        <w:rPr>
          <w:sz w:val="28"/>
          <w:szCs w:val="28"/>
        </w:rPr>
        <w:lastRenderedPageBreak/>
        <w:t xml:space="preserve">an </w:t>
      </w:r>
      <w:r w:rsidR="00D83FF5" w:rsidRPr="004A4D63">
        <w:rPr>
          <w:sz w:val="28"/>
          <w:szCs w:val="28"/>
        </w:rPr>
        <w:t>order to show cause (</w:t>
      </w:r>
      <w:r w:rsidR="008673B1" w:rsidRPr="004A4D63">
        <w:rPr>
          <w:sz w:val="28"/>
          <w:szCs w:val="28"/>
        </w:rPr>
        <w:t>OSC</w:t>
      </w:r>
      <w:r w:rsidR="00D83FF5" w:rsidRPr="004A4D63">
        <w:rPr>
          <w:sz w:val="28"/>
          <w:szCs w:val="28"/>
        </w:rPr>
        <w:t>).</w:t>
      </w:r>
      <w:r w:rsidR="00DD1D49" w:rsidRPr="004A4D63">
        <w:rPr>
          <w:sz w:val="28"/>
          <w:szCs w:val="28"/>
        </w:rPr>
        <w:t xml:space="preserve"> </w:t>
      </w:r>
      <w:r w:rsidR="00223CC2" w:rsidRPr="004A4D63">
        <w:rPr>
          <w:sz w:val="28"/>
          <w:szCs w:val="28"/>
        </w:rPr>
        <w:t xml:space="preserve">However, such communications can </w:t>
      </w:r>
      <w:r w:rsidR="003F0082" w:rsidRPr="004A4D63">
        <w:rPr>
          <w:sz w:val="28"/>
          <w:szCs w:val="28"/>
        </w:rPr>
        <w:t xml:space="preserve">and do </w:t>
      </w:r>
      <w:r w:rsidR="00223CC2" w:rsidRPr="004A4D63">
        <w:rPr>
          <w:sz w:val="28"/>
          <w:szCs w:val="28"/>
        </w:rPr>
        <w:t>occur before the agency makes the decision to charge.</w:t>
      </w:r>
      <w:r w:rsidR="00370032" w:rsidRPr="004A4D63">
        <w:rPr>
          <w:rStyle w:val="FootnoteReference"/>
          <w:sz w:val="28"/>
          <w:szCs w:val="28"/>
        </w:rPr>
        <w:footnoteReference w:id="172"/>
      </w:r>
      <w:r w:rsidR="00370032" w:rsidRPr="004A4D63">
        <w:rPr>
          <w:sz w:val="28"/>
          <w:szCs w:val="28"/>
        </w:rPr>
        <w:t xml:space="preserve"> </w:t>
      </w:r>
      <w:r w:rsidR="00223CC2" w:rsidRPr="004A4D63">
        <w:rPr>
          <w:sz w:val="28"/>
          <w:szCs w:val="28"/>
        </w:rPr>
        <w:t xml:space="preserve">  </w:t>
      </w:r>
    </w:p>
    <w:p w14:paraId="4F9D1895" w14:textId="42DD3D31" w:rsidR="0083487E" w:rsidRPr="004A4D63" w:rsidRDefault="00662EED" w:rsidP="0065383A">
      <w:pPr>
        <w:spacing w:line="480" w:lineRule="auto"/>
        <w:rPr>
          <w:sz w:val="28"/>
          <w:szCs w:val="28"/>
        </w:rPr>
      </w:pPr>
      <w:r w:rsidRPr="004A4D63">
        <w:rPr>
          <w:sz w:val="28"/>
          <w:szCs w:val="28"/>
        </w:rPr>
        <w:tab/>
      </w:r>
      <w:r w:rsidR="003F0082" w:rsidRPr="004A4D63">
        <w:rPr>
          <w:sz w:val="28"/>
          <w:szCs w:val="28"/>
        </w:rPr>
        <w:t xml:space="preserve">Under </w:t>
      </w:r>
      <w:r w:rsidR="00D83FF5" w:rsidRPr="004A4D63">
        <w:rPr>
          <w:sz w:val="28"/>
          <w:szCs w:val="28"/>
        </w:rPr>
        <w:t>Scherman</w:t>
      </w:r>
      <w:r w:rsidR="003F0082" w:rsidRPr="004A4D63">
        <w:rPr>
          <w:sz w:val="28"/>
          <w:szCs w:val="28"/>
        </w:rPr>
        <w:t xml:space="preserve">’s proposal, </w:t>
      </w:r>
      <w:r w:rsidR="00734CA7" w:rsidRPr="004A4D63">
        <w:rPr>
          <w:sz w:val="28"/>
          <w:szCs w:val="28"/>
        </w:rPr>
        <w:t>the</w:t>
      </w:r>
      <w:r w:rsidR="00541D75" w:rsidRPr="004A4D63">
        <w:rPr>
          <w:sz w:val="28"/>
          <w:szCs w:val="28"/>
        </w:rPr>
        <w:t>se</w:t>
      </w:r>
      <w:r w:rsidR="00734CA7" w:rsidRPr="004A4D63">
        <w:rPr>
          <w:sz w:val="28"/>
          <w:szCs w:val="28"/>
        </w:rPr>
        <w:t xml:space="preserve"> prohibition</w:t>
      </w:r>
      <w:r w:rsidR="00541D75" w:rsidRPr="004A4D63">
        <w:rPr>
          <w:sz w:val="28"/>
          <w:szCs w:val="28"/>
        </w:rPr>
        <w:t>s</w:t>
      </w:r>
      <w:r w:rsidR="00734CA7" w:rsidRPr="004A4D63">
        <w:rPr>
          <w:sz w:val="28"/>
          <w:szCs w:val="28"/>
        </w:rPr>
        <w:t xml:space="preserve"> </w:t>
      </w:r>
      <w:r w:rsidR="003F0082" w:rsidRPr="004A4D63">
        <w:rPr>
          <w:sz w:val="28"/>
          <w:szCs w:val="28"/>
        </w:rPr>
        <w:t xml:space="preserve">would apply </w:t>
      </w:r>
      <w:r w:rsidR="00B8436A" w:rsidRPr="004A4D63">
        <w:rPr>
          <w:sz w:val="28"/>
          <w:szCs w:val="28"/>
        </w:rPr>
        <w:t xml:space="preserve">at an </w:t>
      </w:r>
      <w:r w:rsidR="00223CC2" w:rsidRPr="004A4D63">
        <w:rPr>
          <w:sz w:val="28"/>
          <w:szCs w:val="28"/>
        </w:rPr>
        <w:t>earlier</w:t>
      </w:r>
      <w:r w:rsidR="00B8436A" w:rsidRPr="004A4D63">
        <w:rPr>
          <w:sz w:val="28"/>
          <w:szCs w:val="28"/>
        </w:rPr>
        <w:t xml:space="preserve"> stage of the proce</w:t>
      </w:r>
      <w:r w:rsidR="00734CA7" w:rsidRPr="004A4D63">
        <w:rPr>
          <w:sz w:val="28"/>
          <w:szCs w:val="28"/>
        </w:rPr>
        <w:t xml:space="preserve">eding, </w:t>
      </w:r>
      <w:r w:rsidR="008673B1" w:rsidRPr="004A4D63">
        <w:rPr>
          <w:sz w:val="28"/>
          <w:szCs w:val="28"/>
        </w:rPr>
        <w:t>perhaps</w:t>
      </w:r>
      <w:r w:rsidR="00DD1D49" w:rsidRPr="004A4D63">
        <w:rPr>
          <w:sz w:val="28"/>
          <w:szCs w:val="28"/>
        </w:rPr>
        <w:t xml:space="preserve"> </w:t>
      </w:r>
      <w:r w:rsidR="00734CA7" w:rsidRPr="004A4D63">
        <w:rPr>
          <w:sz w:val="28"/>
          <w:szCs w:val="28"/>
        </w:rPr>
        <w:t xml:space="preserve">when </w:t>
      </w:r>
      <w:r w:rsidR="008673B1" w:rsidRPr="004A4D63">
        <w:rPr>
          <w:sz w:val="28"/>
          <w:szCs w:val="28"/>
        </w:rPr>
        <w:t xml:space="preserve">the </w:t>
      </w:r>
      <w:r w:rsidR="00223CC2" w:rsidRPr="004A4D63">
        <w:rPr>
          <w:sz w:val="28"/>
          <w:szCs w:val="28"/>
        </w:rPr>
        <w:t>R</w:t>
      </w:r>
      <w:r w:rsidR="00DD1D49" w:rsidRPr="004A4D63">
        <w:rPr>
          <w:sz w:val="28"/>
          <w:szCs w:val="28"/>
        </w:rPr>
        <w:t>ule 1b.19 notice</w:t>
      </w:r>
      <w:r w:rsidR="00734CA7" w:rsidRPr="004A4D63">
        <w:rPr>
          <w:sz w:val="28"/>
          <w:szCs w:val="28"/>
        </w:rPr>
        <w:t xml:space="preserve"> issues</w:t>
      </w:r>
      <w:r w:rsidR="00223CC2" w:rsidRPr="004A4D63">
        <w:rPr>
          <w:sz w:val="28"/>
          <w:szCs w:val="28"/>
        </w:rPr>
        <w:t xml:space="preserve"> </w:t>
      </w:r>
      <w:r w:rsidRPr="004A4D63">
        <w:rPr>
          <w:sz w:val="28"/>
          <w:szCs w:val="28"/>
        </w:rPr>
        <w:t>(</w:t>
      </w:r>
      <w:r w:rsidR="00223CC2" w:rsidRPr="004A4D63">
        <w:rPr>
          <w:sz w:val="28"/>
          <w:szCs w:val="28"/>
        </w:rPr>
        <w:t>meaning staff has decided to recommend charging the target)</w:t>
      </w:r>
      <w:r w:rsidR="003F0082" w:rsidRPr="004A4D63">
        <w:rPr>
          <w:sz w:val="28"/>
          <w:szCs w:val="28"/>
        </w:rPr>
        <w:t>.</w:t>
      </w:r>
      <w:r w:rsidR="00223CC2" w:rsidRPr="004A4D63">
        <w:rPr>
          <w:sz w:val="28"/>
          <w:szCs w:val="28"/>
        </w:rPr>
        <w:t xml:space="preserve"> </w:t>
      </w:r>
      <w:r w:rsidR="00D83FF5" w:rsidRPr="004A4D63">
        <w:rPr>
          <w:sz w:val="28"/>
          <w:szCs w:val="28"/>
        </w:rPr>
        <w:t xml:space="preserve">His </w:t>
      </w:r>
      <w:r w:rsidRPr="004A4D63">
        <w:rPr>
          <w:sz w:val="28"/>
          <w:szCs w:val="28"/>
        </w:rPr>
        <w:t>article expressed concern a</w:t>
      </w:r>
      <w:r w:rsidR="00DD1D49" w:rsidRPr="004A4D63">
        <w:rPr>
          <w:sz w:val="28"/>
          <w:szCs w:val="28"/>
        </w:rPr>
        <w:t xml:space="preserve">bout the </w:t>
      </w:r>
      <w:r w:rsidR="00D83FF5" w:rsidRPr="004A4D63">
        <w:rPr>
          <w:sz w:val="28"/>
          <w:szCs w:val="28"/>
        </w:rPr>
        <w:t xml:space="preserve">fairness of allowing the </w:t>
      </w:r>
      <w:r w:rsidRPr="004A4D63">
        <w:rPr>
          <w:sz w:val="28"/>
          <w:szCs w:val="28"/>
        </w:rPr>
        <w:t>s</w:t>
      </w:r>
      <w:r w:rsidR="00DD1D49" w:rsidRPr="004A4D63">
        <w:rPr>
          <w:sz w:val="28"/>
          <w:szCs w:val="28"/>
        </w:rPr>
        <w:t xml:space="preserve">taff unfettered access to the Commission during the investigatory </w:t>
      </w:r>
      <w:r w:rsidRPr="004A4D63">
        <w:rPr>
          <w:sz w:val="28"/>
          <w:szCs w:val="28"/>
        </w:rPr>
        <w:t xml:space="preserve">and greenlighting </w:t>
      </w:r>
      <w:r w:rsidR="00DD1D49" w:rsidRPr="004A4D63">
        <w:rPr>
          <w:sz w:val="28"/>
          <w:szCs w:val="28"/>
        </w:rPr>
        <w:t>phase</w:t>
      </w:r>
      <w:r w:rsidRPr="004A4D63">
        <w:rPr>
          <w:sz w:val="28"/>
          <w:szCs w:val="28"/>
        </w:rPr>
        <w:t>s</w:t>
      </w:r>
      <w:r w:rsidR="00DD1D49" w:rsidRPr="004A4D63">
        <w:rPr>
          <w:sz w:val="28"/>
          <w:szCs w:val="28"/>
        </w:rPr>
        <w:t xml:space="preserve"> of the case</w:t>
      </w:r>
      <w:r w:rsidR="00A96A2C" w:rsidRPr="004A4D63">
        <w:rPr>
          <w:sz w:val="28"/>
          <w:szCs w:val="28"/>
        </w:rPr>
        <w:t>, while the ability of targets to communicate with agency heads is limited to written submissions.</w:t>
      </w:r>
      <w:r w:rsidRPr="004A4D63">
        <w:rPr>
          <w:rStyle w:val="FootnoteReference"/>
          <w:sz w:val="28"/>
          <w:szCs w:val="28"/>
        </w:rPr>
        <w:footnoteReference w:id="173"/>
      </w:r>
      <w:r w:rsidRPr="004A4D63">
        <w:rPr>
          <w:sz w:val="28"/>
          <w:szCs w:val="28"/>
        </w:rPr>
        <w:t xml:space="preserve"> </w:t>
      </w:r>
      <w:r w:rsidR="00734CA7" w:rsidRPr="004A4D63">
        <w:rPr>
          <w:sz w:val="28"/>
          <w:szCs w:val="28"/>
        </w:rPr>
        <w:t xml:space="preserve"> </w:t>
      </w:r>
      <w:r w:rsidR="00115E27" w:rsidRPr="004A4D63">
        <w:rPr>
          <w:sz w:val="28"/>
          <w:szCs w:val="28"/>
        </w:rPr>
        <w:t xml:space="preserve">Under Scherman’s proposal, </w:t>
      </w:r>
      <w:r w:rsidR="00A96A2C" w:rsidRPr="004A4D63">
        <w:rPr>
          <w:sz w:val="28"/>
          <w:szCs w:val="28"/>
        </w:rPr>
        <w:t xml:space="preserve">meetings between the staff and </w:t>
      </w:r>
      <w:r w:rsidR="004A440B" w:rsidRPr="004A4D63">
        <w:rPr>
          <w:sz w:val="28"/>
          <w:szCs w:val="28"/>
        </w:rPr>
        <w:t xml:space="preserve">agency </w:t>
      </w:r>
      <w:r w:rsidR="00A96A2C" w:rsidRPr="004A4D63">
        <w:rPr>
          <w:sz w:val="28"/>
          <w:szCs w:val="28"/>
        </w:rPr>
        <w:t xml:space="preserve">heads concerning greenlighting would be on the record </w:t>
      </w:r>
      <w:r w:rsidR="00115E27" w:rsidRPr="004A4D63">
        <w:rPr>
          <w:sz w:val="28"/>
          <w:szCs w:val="28"/>
        </w:rPr>
        <w:t xml:space="preserve">rather than ex parte </w:t>
      </w:r>
      <w:r w:rsidR="00A96A2C" w:rsidRPr="004A4D63">
        <w:rPr>
          <w:sz w:val="28"/>
          <w:szCs w:val="28"/>
        </w:rPr>
        <w:t>and the target could participate</w:t>
      </w:r>
      <w:r w:rsidR="00115E27" w:rsidRPr="004A4D63">
        <w:rPr>
          <w:sz w:val="28"/>
          <w:szCs w:val="28"/>
        </w:rPr>
        <w:t xml:space="preserve"> in such meetings</w:t>
      </w:r>
      <w:r w:rsidR="00A96A2C" w:rsidRPr="004A4D63">
        <w:rPr>
          <w:sz w:val="28"/>
          <w:szCs w:val="28"/>
        </w:rPr>
        <w:t xml:space="preserve">. </w:t>
      </w:r>
      <w:r w:rsidRPr="004A4D63">
        <w:rPr>
          <w:sz w:val="28"/>
          <w:szCs w:val="28"/>
        </w:rPr>
        <w:t>In a</w:t>
      </w:r>
      <w:r w:rsidR="0083487E" w:rsidRPr="004A4D63">
        <w:rPr>
          <w:sz w:val="28"/>
          <w:szCs w:val="28"/>
        </w:rPr>
        <w:t xml:space="preserve"> subsequent article, members of the FERC staff </w:t>
      </w:r>
      <w:r w:rsidRPr="004A4D63">
        <w:rPr>
          <w:sz w:val="28"/>
          <w:szCs w:val="28"/>
        </w:rPr>
        <w:t xml:space="preserve">and outside lawyers </w:t>
      </w:r>
      <w:r w:rsidR="0083487E" w:rsidRPr="004A4D63">
        <w:rPr>
          <w:sz w:val="28"/>
          <w:szCs w:val="28"/>
        </w:rPr>
        <w:t xml:space="preserve">strongly </w:t>
      </w:r>
      <w:r w:rsidR="00115E27" w:rsidRPr="004A4D63">
        <w:rPr>
          <w:sz w:val="28"/>
          <w:szCs w:val="28"/>
        </w:rPr>
        <w:t xml:space="preserve">criticized </w:t>
      </w:r>
      <w:r w:rsidR="00734CA7" w:rsidRPr="004A4D63">
        <w:rPr>
          <w:sz w:val="28"/>
          <w:szCs w:val="28"/>
        </w:rPr>
        <w:t>Scherman’s proposal.</w:t>
      </w:r>
      <w:r w:rsidR="0083487E" w:rsidRPr="004A4D63">
        <w:rPr>
          <w:rStyle w:val="FootnoteReference"/>
          <w:sz w:val="28"/>
          <w:szCs w:val="28"/>
        </w:rPr>
        <w:footnoteReference w:id="174"/>
      </w:r>
      <w:r w:rsidR="0083487E" w:rsidRPr="004A4D63">
        <w:rPr>
          <w:sz w:val="28"/>
          <w:szCs w:val="28"/>
        </w:rPr>
        <w:t xml:space="preserve"> </w:t>
      </w:r>
    </w:p>
    <w:p w14:paraId="79DF9484" w14:textId="1FCC66C1" w:rsidR="0006125F" w:rsidRPr="004A4D63" w:rsidRDefault="0083487E" w:rsidP="0065383A">
      <w:pPr>
        <w:spacing w:line="480" w:lineRule="auto"/>
        <w:rPr>
          <w:sz w:val="28"/>
          <w:szCs w:val="28"/>
        </w:rPr>
      </w:pPr>
      <w:r w:rsidRPr="004A4D63">
        <w:rPr>
          <w:sz w:val="28"/>
          <w:szCs w:val="28"/>
        </w:rPr>
        <w:tab/>
      </w:r>
      <w:r w:rsidR="00115E27" w:rsidRPr="004A4D63">
        <w:rPr>
          <w:sz w:val="28"/>
          <w:szCs w:val="28"/>
        </w:rPr>
        <w:t xml:space="preserve">Most interviewees </w:t>
      </w:r>
      <w:r w:rsidR="008673B1" w:rsidRPr="004A4D63">
        <w:rPr>
          <w:sz w:val="28"/>
          <w:szCs w:val="28"/>
        </w:rPr>
        <w:t>opposed</w:t>
      </w:r>
      <w:r w:rsidR="00D83FF5" w:rsidRPr="004A4D63">
        <w:rPr>
          <w:sz w:val="28"/>
          <w:szCs w:val="28"/>
        </w:rPr>
        <w:t xml:space="preserve"> Scherman’s proposal</w:t>
      </w:r>
      <w:r w:rsidR="00A96A2C" w:rsidRPr="004A4D63">
        <w:rPr>
          <w:sz w:val="28"/>
          <w:szCs w:val="28"/>
        </w:rPr>
        <w:t>,</w:t>
      </w:r>
      <w:r w:rsidR="00C80B00" w:rsidRPr="004A4D63">
        <w:rPr>
          <w:sz w:val="28"/>
          <w:szCs w:val="28"/>
        </w:rPr>
        <w:t xml:space="preserve"> whether at FERC or at other agencies. </w:t>
      </w:r>
      <w:r w:rsidR="008673B1" w:rsidRPr="004A4D63">
        <w:rPr>
          <w:sz w:val="28"/>
          <w:szCs w:val="28"/>
        </w:rPr>
        <w:t>The</w:t>
      </w:r>
      <w:r w:rsidR="00A96A2C" w:rsidRPr="004A4D63">
        <w:rPr>
          <w:sz w:val="28"/>
          <w:szCs w:val="28"/>
        </w:rPr>
        <w:t xml:space="preserve"> interviewees</w:t>
      </w:r>
      <w:r w:rsidR="008673B1" w:rsidRPr="004A4D63">
        <w:rPr>
          <w:sz w:val="28"/>
          <w:szCs w:val="28"/>
        </w:rPr>
        <w:t xml:space="preserve"> believe that the staff needs to </w:t>
      </w:r>
      <w:r w:rsidR="00A96A2C" w:rsidRPr="004A4D63">
        <w:rPr>
          <w:sz w:val="28"/>
          <w:szCs w:val="28"/>
        </w:rPr>
        <w:t xml:space="preserve">conduct </w:t>
      </w:r>
      <w:r w:rsidR="008673B1" w:rsidRPr="004A4D63">
        <w:rPr>
          <w:sz w:val="28"/>
          <w:szCs w:val="28"/>
        </w:rPr>
        <w:t xml:space="preserve">a candid </w:t>
      </w:r>
      <w:r w:rsidR="008673B1" w:rsidRPr="004A4D63">
        <w:rPr>
          <w:sz w:val="28"/>
          <w:szCs w:val="28"/>
        </w:rPr>
        <w:lastRenderedPageBreak/>
        <w:t xml:space="preserve">and robust discussion with </w:t>
      </w:r>
      <w:r w:rsidR="003B6574" w:rsidRPr="004A4D63">
        <w:rPr>
          <w:sz w:val="28"/>
          <w:szCs w:val="28"/>
        </w:rPr>
        <w:t xml:space="preserve">agency members </w:t>
      </w:r>
      <w:r w:rsidR="008673B1" w:rsidRPr="004A4D63">
        <w:rPr>
          <w:sz w:val="28"/>
          <w:szCs w:val="28"/>
        </w:rPr>
        <w:t xml:space="preserve">about whether to </w:t>
      </w:r>
      <w:r w:rsidR="003B6574" w:rsidRPr="004A4D63">
        <w:rPr>
          <w:sz w:val="28"/>
          <w:szCs w:val="28"/>
        </w:rPr>
        <w:t xml:space="preserve">greenlight a case. </w:t>
      </w:r>
      <w:r w:rsidR="008673B1" w:rsidRPr="004A4D63">
        <w:rPr>
          <w:sz w:val="28"/>
          <w:szCs w:val="28"/>
        </w:rPr>
        <w:t xml:space="preserve"> If the target’s representatives </w:t>
      </w:r>
      <w:r w:rsidR="003B6574" w:rsidRPr="004A4D63">
        <w:rPr>
          <w:sz w:val="28"/>
          <w:szCs w:val="28"/>
        </w:rPr>
        <w:t xml:space="preserve">were </w:t>
      </w:r>
      <w:r w:rsidR="00F85AB0" w:rsidRPr="004A4D63">
        <w:rPr>
          <w:sz w:val="28"/>
          <w:szCs w:val="28"/>
        </w:rPr>
        <w:t>p</w:t>
      </w:r>
      <w:r w:rsidR="008673B1" w:rsidRPr="004A4D63">
        <w:rPr>
          <w:sz w:val="28"/>
          <w:szCs w:val="28"/>
        </w:rPr>
        <w:t>resent</w:t>
      </w:r>
      <w:r w:rsidR="007A5108" w:rsidRPr="004A4D63">
        <w:rPr>
          <w:sz w:val="28"/>
          <w:szCs w:val="28"/>
        </w:rPr>
        <w:t xml:space="preserve"> or if the discussion </w:t>
      </w:r>
      <w:r w:rsidR="003B6574" w:rsidRPr="004A4D63">
        <w:rPr>
          <w:sz w:val="28"/>
          <w:szCs w:val="28"/>
        </w:rPr>
        <w:t xml:space="preserve">was </w:t>
      </w:r>
      <w:r w:rsidR="007A5108" w:rsidRPr="004A4D63">
        <w:rPr>
          <w:sz w:val="28"/>
          <w:szCs w:val="28"/>
        </w:rPr>
        <w:t>on the record</w:t>
      </w:r>
      <w:r w:rsidR="008673B1" w:rsidRPr="004A4D63">
        <w:rPr>
          <w:sz w:val="28"/>
          <w:szCs w:val="28"/>
        </w:rPr>
        <w:t xml:space="preserve">, </w:t>
      </w:r>
      <w:r w:rsidR="00F85AB0" w:rsidRPr="004A4D63">
        <w:rPr>
          <w:sz w:val="28"/>
          <w:szCs w:val="28"/>
        </w:rPr>
        <w:t>staff could not level with the agency heads about the weaknesses in the case</w:t>
      </w:r>
      <w:r w:rsidR="00115E27" w:rsidRPr="004A4D63">
        <w:rPr>
          <w:sz w:val="28"/>
          <w:szCs w:val="28"/>
        </w:rPr>
        <w:t>,</w:t>
      </w:r>
      <w:r w:rsidR="00F85AB0" w:rsidRPr="004A4D63">
        <w:rPr>
          <w:sz w:val="28"/>
          <w:szCs w:val="28"/>
        </w:rPr>
        <w:t xml:space="preserve"> or the political or policy issues it creates</w:t>
      </w:r>
      <w:r w:rsidR="00115E27" w:rsidRPr="004A4D63">
        <w:rPr>
          <w:sz w:val="28"/>
          <w:szCs w:val="28"/>
        </w:rPr>
        <w:t>.</w:t>
      </w:r>
      <w:r w:rsidR="00F85AB0" w:rsidRPr="004A4D63">
        <w:rPr>
          <w:sz w:val="28"/>
          <w:szCs w:val="28"/>
        </w:rPr>
        <w:t xml:space="preserve"> or the terms on which it might be settled.</w:t>
      </w:r>
      <w:r w:rsidR="00F85AB0" w:rsidRPr="004A4D63">
        <w:rPr>
          <w:rStyle w:val="FootnoteReference"/>
          <w:sz w:val="28"/>
          <w:szCs w:val="28"/>
        </w:rPr>
        <w:footnoteReference w:id="175"/>
      </w:r>
      <w:r w:rsidR="00F85AB0" w:rsidRPr="004A4D63">
        <w:rPr>
          <w:sz w:val="28"/>
          <w:szCs w:val="28"/>
        </w:rPr>
        <w:t xml:space="preserve"> </w:t>
      </w:r>
      <w:r w:rsidR="00C80B00" w:rsidRPr="004A4D63">
        <w:rPr>
          <w:sz w:val="28"/>
          <w:szCs w:val="28"/>
        </w:rPr>
        <w:t xml:space="preserve">The need for candid discussion about charging </w:t>
      </w:r>
      <w:r w:rsidR="00F85AB0" w:rsidRPr="004A4D63">
        <w:rPr>
          <w:sz w:val="28"/>
          <w:szCs w:val="28"/>
        </w:rPr>
        <w:t>is the reason for the Sunshine Act exemption of meetings devoted to initiation of litigation.</w:t>
      </w:r>
      <w:r w:rsidR="001D3159" w:rsidRPr="004A4D63">
        <w:rPr>
          <w:rStyle w:val="FootnoteReference"/>
          <w:sz w:val="28"/>
          <w:szCs w:val="28"/>
        </w:rPr>
        <w:footnoteReference w:id="176"/>
      </w:r>
      <w:r w:rsidR="00F85AB0" w:rsidRPr="004A4D63">
        <w:rPr>
          <w:sz w:val="28"/>
          <w:szCs w:val="28"/>
        </w:rPr>
        <w:t xml:space="preserve"> </w:t>
      </w:r>
    </w:p>
    <w:p w14:paraId="139AA075" w14:textId="4EACCAA1" w:rsidR="00945742" w:rsidRPr="004A4D63" w:rsidRDefault="0030283C" w:rsidP="0065383A">
      <w:pPr>
        <w:spacing w:line="480" w:lineRule="auto"/>
        <w:rPr>
          <w:b/>
          <w:bCs/>
          <w:sz w:val="28"/>
          <w:szCs w:val="28"/>
        </w:rPr>
      </w:pPr>
      <w:r w:rsidRPr="004A4D63">
        <w:rPr>
          <w:b/>
          <w:bCs/>
          <w:sz w:val="28"/>
          <w:szCs w:val="28"/>
        </w:rPr>
        <w:t xml:space="preserve">D. </w:t>
      </w:r>
      <w:r w:rsidR="00DC76C7" w:rsidRPr="004A4D63">
        <w:rPr>
          <w:b/>
          <w:bCs/>
          <w:sz w:val="28"/>
          <w:szCs w:val="28"/>
        </w:rPr>
        <w:t>DELEGATION TO ENFORCEMENT STAFF IN ROUTINE CASES</w:t>
      </w:r>
      <w:r w:rsidR="005A423E" w:rsidRPr="004A4D63">
        <w:rPr>
          <w:b/>
          <w:bCs/>
          <w:sz w:val="28"/>
          <w:szCs w:val="28"/>
        </w:rPr>
        <w:t xml:space="preserve">  </w:t>
      </w:r>
    </w:p>
    <w:p w14:paraId="7689B582" w14:textId="619FF426" w:rsidR="0030283C" w:rsidRPr="004A4D63" w:rsidRDefault="0030283C" w:rsidP="0065383A">
      <w:pPr>
        <w:spacing w:line="480" w:lineRule="auto"/>
        <w:rPr>
          <w:sz w:val="28"/>
          <w:szCs w:val="28"/>
        </w:rPr>
      </w:pPr>
      <w:r w:rsidRPr="004A4D63">
        <w:rPr>
          <w:sz w:val="28"/>
          <w:szCs w:val="28"/>
        </w:rPr>
        <w:tab/>
        <w:t xml:space="preserve">The 1941 Report of the Attorney General’s Committee on Administrative Procedure </w:t>
      </w:r>
      <w:r w:rsidR="00E10B18" w:rsidRPr="004A4D63">
        <w:rPr>
          <w:sz w:val="28"/>
          <w:szCs w:val="28"/>
        </w:rPr>
        <w:t xml:space="preserve">expressed </w:t>
      </w:r>
      <w:r w:rsidR="00BF4F02" w:rsidRPr="004A4D63">
        <w:rPr>
          <w:sz w:val="28"/>
          <w:szCs w:val="28"/>
        </w:rPr>
        <w:t>concern</w:t>
      </w:r>
      <w:r w:rsidR="00E10B18" w:rsidRPr="004A4D63">
        <w:rPr>
          <w:sz w:val="28"/>
          <w:szCs w:val="28"/>
        </w:rPr>
        <w:t xml:space="preserve"> with </w:t>
      </w:r>
      <w:r w:rsidR="00BF4F02" w:rsidRPr="004A4D63">
        <w:rPr>
          <w:sz w:val="28"/>
          <w:szCs w:val="28"/>
        </w:rPr>
        <w:t xml:space="preserve">the problem of confirmation bias </w:t>
      </w:r>
      <w:r w:rsidR="00115E27" w:rsidRPr="004A4D63">
        <w:rPr>
          <w:sz w:val="28"/>
          <w:szCs w:val="28"/>
        </w:rPr>
        <w:t xml:space="preserve">resulting from </w:t>
      </w:r>
      <w:r w:rsidR="00BF4F02" w:rsidRPr="004A4D63">
        <w:rPr>
          <w:sz w:val="28"/>
          <w:szCs w:val="28"/>
        </w:rPr>
        <w:t>greenlighting</w:t>
      </w:r>
      <w:r w:rsidR="00115E27" w:rsidRPr="004A4D63">
        <w:rPr>
          <w:sz w:val="28"/>
          <w:szCs w:val="28"/>
        </w:rPr>
        <w:t>.</w:t>
      </w:r>
      <w:r w:rsidR="00BF4F02" w:rsidRPr="004A4D63">
        <w:rPr>
          <w:sz w:val="28"/>
          <w:szCs w:val="28"/>
        </w:rPr>
        <w:t xml:space="preserve"> </w:t>
      </w:r>
      <w:r w:rsidR="00F43F99" w:rsidRPr="004A4D63">
        <w:rPr>
          <w:sz w:val="28"/>
          <w:szCs w:val="28"/>
        </w:rPr>
        <w:t>To alleviate the problem, t</w:t>
      </w:r>
      <w:r w:rsidR="00BF4F02" w:rsidRPr="004A4D63">
        <w:rPr>
          <w:sz w:val="28"/>
          <w:szCs w:val="28"/>
        </w:rPr>
        <w:t>he</w:t>
      </w:r>
      <w:r w:rsidR="00E10B18" w:rsidRPr="004A4D63">
        <w:rPr>
          <w:sz w:val="28"/>
          <w:szCs w:val="28"/>
        </w:rPr>
        <w:t xml:space="preserve"> R</w:t>
      </w:r>
      <w:r w:rsidR="00BF4F02" w:rsidRPr="004A4D63">
        <w:rPr>
          <w:sz w:val="28"/>
          <w:szCs w:val="28"/>
        </w:rPr>
        <w:t xml:space="preserve">eport </w:t>
      </w:r>
      <w:r w:rsidRPr="004A4D63">
        <w:rPr>
          <w:sz w:val="28"/>
          <w:szCs w:val="28"/>
        </w:rPr>
        <w:t xml:space="preserve">suggested that </w:t>
      </w:r>
      <w:r w:rsidR="003C2EF1" w:rsidRPr="004A4D63">
        <w:rPr>
          <w:sz w:val="28"/>
          <w:szCs w:val="28"/>
        </w:rPr>
        <w:t xml:space="preserve">agencies </w:t>
      </w:r>
      <w:r w:rsidR="004C5DE5" w:rsidRPr="004A4D63">
        <w:rPr>
          <w:sz w:val="28"/>
          <w:szCs w:val="28"/>
        </w:rPr>
        <w:t xml:space="preserve">delegate to staff </w:t>
      </w:r>
      <w:r w:rsidRPr="004A4D63">
        <w:rPr>
          <w:sz w:val="28"/>
          <w:szCs w:val="28"/>
        </w:rPr>
        <w:t xml:space="preserve">the </w:t>
      </w:r>
      <w:r w:rsidR="00BF4F02" w:rsidRPr="004A4D63">
        <w:rPr>
          <w:sz w:val="28"/>
          <w:szCs w:val="28"/>
        </w:rPr>
        <w:t xml:space="preserve">decision to issue a complaint </w:t>
      </w:r>
      <w:r w:rsidRPr="004A4D63">
        <w:rPr>
          <w:sz w:val="28"/>
          <w:szCs w:val="28"/>
        </w:rPr>
        <w:t xml:space="preserve">in </w:t>
      </w:r>
      <w:r w:rsidR="003C2EF1" w:rsidRPr="004A4D63">
        <w:rPr>
          <w:sz w:val="28"/>
          <w:szCs w:val="28"/>
        </w:rPr>
        <w:t xml:space="preserve">cases that raise only </w:t>
      </w:r>
      <w:r w:rsidRPr="004A4D63">
        <w:rPr>
          <w:sz w:val="28"/>
          <w:szCs w:val="28"/>
        </w:rPr>
        <w:t>applications of well-established legal principles. Such cases might present  difficulties of pro</w:t>
      </w:r>
      <w:r w:rsidR="003C2EF1" w:rsidRPr="004A4D63">
        <w:rPr>
          <w:sz w:val="28"/>
          <w:szCs w:val="28"/>
        </w:rPr>
        <w:t>of</w:t>
      </w:r>
      <w:r w:rsidR="00F43F99" w:rsidRPr="004A4D63">
        <w:rPr>
          <w:sz w:val="28"/>
          <w:szCs w:val="28"/>
        </w:rPr>
        <w:t xml:space="preserve"> </w:t>
      </w:r>
      <w:r w:rsidRPr="004A4D63">
        <w:rPr>
          <w:sz w:val="28"/>
          <w:szCs w:val="28"/>
        </w:rPr>
        <w:t>but would otherwise b</w:t>
      </w:r>
      <w:r w:rsidR="003F69EC" w:rsidRPr="004A4D63">
        <w:rPr>
          <w:sz w:val="28"/>
          <w:szCs w:val="28"/>
        </w:rPr>
        <w:t>e</w:t>
      </w:r>
      <w:r w:rsidRPr="004A4D63">
        <w:rPr>
          <w:sz w:val="28"/>
          <w:szCs w:val="28"/>
        </w:rPr>
        <w:t xml:space="preserve"> routine. </w:t>
      </w:r>
      <w:r w:rsidR="00F43F99" w:rsidRPr="004A4D63">
        <w:rPr>
          <w:sz w:val="28"/>
          <w:szCs w:val="28"/>
        </w:rPr>
        <w:t>Delegation of the charging decision in routine cases would not inhibit the agency’s use of adjudication for policymaking</w:t>
      </w:r>
      <w:r w:rsidR="00F22CAC" w:rsidRPr="004A4D63">
        <w:rPr>
          <w:sz w:val="28"/>
          <w:szCs w:val="28"/>
        </w:rPr>
        <w:t xml:space="preserve">. </w:t>
      </w:r>
      <w:r w:rsidR="00F43F99" w:rsidRPr="004A4D63">
        <w:rPr>
          <w:sz w:val="28"/>
          <w:szCs w:val="28"/>
        </w:rPr>
        <w:t xml:space="preserve"> </w:t>
      </w:r>
      <w:r w:rsidRPr="004A4D63">
        <w:rPr>
          <w:sz w:val="28"/>
          <w:szCs w:val="28"/>
        </w:rPr>
        <w:t xml:space="preserve">However, in </w:t>
      </w:r>
      <w:r w:rsidR="00F22CAC" w:rsidRPr="004A4D63">
        <w:rPr>
          <w:sz w:val="28"/>
          <w:szCs w:val="28"/>
        </w:rPr>
        <w:t xml:space="preserve">cases raising important policy issues or </w:t>
      </w:r>
      <w:r w:rsidRPr="004A4D63">
        <w:rPr>
          <w:sz w:val="28"/>
          <w:szCs w:val="28"/>
        </w:rPr>
        <w:t xml:space="preserve">those that involve extension of existing precedents or new departures, the agency heads </w:t>
      </w:r>
      <w:r w:rsidR="003500D8" w:rsidRPr="004A4D63">
        <w:rPr>
          <w:sz w:val="28"/>
          <w:szCs w:val="28"/>
        </w:rPr>
        <w:t xml:space="preserve">should </w:t>
      </w:r>
      <w:r w:rsidRPr="004A4D63">
        <w:rPr>
          <w:sz w:val="28"/>
          <w:szCs w:val="28"/>
        </w:rPr>
        <w:t>be responsible for making the charging decision</w:t>
      </w:r>
      <w:r w:rsidR="002017A6" w:rsidRPr="004A4D63">
        <w:rPr>
          <w:sz w:val="28"/>
          <w:szCs w:val="28"/>
        </w:rPr>
        <w:t>.</w:t>
      </w:r>
      <w:r w:rsidR="004D6ED8" w:rsidRPr="004A4D63">
        <w:rPr>
          <w:rStyle w:val="FootnoteReference"/>
          <w:sz w:val="28"/>
          <w:szCs w:val="28"/>
        </w:rPr>
        <w:footnoteReference w:id="177"/>
      </w:r>
      <w:r w:rsidR="00F43F99" w:rsidRPr="004A4D63">
        <w:rPr>
          <w:sz w:val="28"/>
          <w:szCs w:val="28"/>
        </w:rPr>
        <w:t xml:space="preserve">  </w:t>
      </w:r>
    </w:p>
    <w:p w14:paraId="77595491" w14:textId="0BB00FDE" w:rsidR="0030283C" w:rsidRPr="004A4D63" w:rsidRDefault="00674605" w:rsidP="0065383A">
      <w:pPr>
        <w:spacing w:line="480" w:lineRule="auto"/>
        <w:rPr>
          <w:sz w:val="28"/>
          <w:szCs w:val="28"/>
        </w:rPr>
      </w:pPr>
      <w:r w:rsidRPr="004A4D63">
        <w:rPr>
          <w:sz w:val="28"/>
          <w:szCs w:val="28"/>
        </w:rPr>
        <w:lastRenderedPageBreak/>
        <w:tab/>
        <w:t xml:space="preserve">Such delegations are in effect at several agencies. The FCC staff has power to charge civil penalties below a certain amount ($100,000 for common carriers, $25,000 for others), so that the </w:t>
      </w:r>
      <w:r w:rsidR="009368E1" w:rsidRPr="004A4D63">
        <w:rPr>
          <w:sz w:val="28"/>
          <w:szCs w:val="28"/>
        </w:rPr>
        <w:t xml:space="preserve">commissioners need not consider the </w:t>
      </w:r>
      <w:r w:rsidRPr="004A4D63">
        <w:rPr>
          <w:sz w:val="28"/>
          <w:szCs w:val="28"/>
        </w:rPr>
        <w:t xml:space="preserve">majority of </w:t>
      </w:r>
      <w:r w:rsidR="009368E1" w:rsidRPr="004A4D63">
        <w:rPr>
          <w:sz w:val="28"/>
          <w:szCs w:val="28"/>
        </w:rPr>
        <w:t xml:space="preserve">penalty cases.  </w:t>
      </w:r>
      <w:r w:rsidRPr="004A4D63">
        <w:rPr>
          <w:sz w:val="28"/>
          <w:szCs w:val="28"/>
        </w:rPr>
        <w:t>At FERC, penalties arising from reliability violations that are assessed by an industry self-regulatory process can be processed without agency head involvement.</w:t>
      </w:r>
      <w:r w:rsidRPr="004A4D63">
        <w:rPr>
          <w:rStyle w:val="FootnoteReference"/>
          <w:sz w:val="28"/>
          <w:szCs w:val="28"/>
        </w:rPr>
        <w:footnoteReference w:id="178"/>
      </w:r>
      <w:r w:rsidR="000B04D4" w:rsidRPr="004A4D63">
        <w:rPr>
          <w:sz w:val="28"/>
          <w:szCs w:val="28"/>
        </w:rPr>
        <w:t xml:space="preserve">  In the NLRB, </w:t>
      </w:r>
      <w:r w:rsidR="00D20248" w:rsidRPr="004A4D63">
        <w:rPr>
          <w:sz w:val="28"/>
          <w:szCs w:val="28"/>
        </w:rPr>
        <w:t xml:space="preserve">over 90% </w:t>
      </w:r>
      <w:r w:rsidR="000B04D4" w:rsidRPr="004A4D63">
        <w:rPr>
          <w:sz w:val="28"/>
          <w:szCs w:val="28"/>
        </w:rPr>
        <w:t>of complaints processed by regional offices involve routine, well-settled applications of law</w:t>
      </w:r>
      <w:r w:rsidR="00D20248" w:rsidRPr="004A4D63">
        <w:rPr>
          <w:sz w:val="28"/>
          <w:szCs w:val="28"/>
        </w:rPr>
        <w:t>,</w:t>
      </w:r>
      <w:r w:rsidR="000B04D4" w:rsidRPr="004A4D63">
        <w:rPr>
          <w:sz w:val="28"/>
          <w:szCs w:val="28"/>
        </w:rPr>
        <w:t xml:space="preserve"> and are filed without any involvement of the GC </w:t>
      </w:r>
      <w:r w:rsidR="00D20248" w:rsidRPr="004A4D63">
        <w:rPr>
          <w:sz w:val="28"/>
          <w:szCs w:val="28"/>
        </w:rPr>
        <w:t>or the GC’s staff</w:t>
      </w:r>
      <w:r w:rsidR="000B04D4" w:rsidRPr="004A4D63">
        <w:rPr>
          <w:sz w:val="28"/>
          <w:szCs w:val="28"/>
        </w:rPr>
        <w:t xml:space="preserve">, </w:t>
      </w:r>
      <w:r w:rsidR="00D20248" w:rsidRPr="004A4D63">
        <w:rPr>
          <w:sz w:val="28"/>
          <w:szCs w:val="28"/>
        </w:rPr>
        <w:t xml:space="preserve">even though, </w:t>
      </w:r>
      <w:r w:rsidR="000B04D4" w:rsidRPr="004A4D63">
        <w:rPr>
          <w:sz w:val="28"/>
          <w:szCs w:val="28"/>
        </w:rPr>
        <w:t>in theory,</w:t>
      </w:r>
      <w:r w:rsidR="00D20248" w:rsidRPr="004A4D63">
        <w:rPr>
          <w:sz w:val="28"/>
          <w:szCs w:val="28"/>
        </w:rPr>
        <w:t xml:space="preserve"> the GC </w:t>
      </w:r>
      <w:r w:rsidR="000B04D4" w:rsidRPr="004A4D63">
        <w:rPr>
          <w:sz w:val="28"/>
          <w:szCs w:val="28"/>
        </w:rPr>
        <w:t>is responsible for all NLRB prosecution decisions.</w:t>
      </w:r>
      <w:r w:rsidR="0033794B" w:rsidRPr="004A4D63">
        <w:rPr>
          <w:rStyle w:val="FootnoteReference"/>
          <w:sz w:val="28"/>
          <w:szCs w:val="28"/>
        </w:rPr>
        <w:footnoteReference w:id="179"/>
      </w:r>
      <w:r w:rsidR="000B04D4" w:rsidRPr="004A4D63">
        <w:rPr>
          <w:sz w:val="28"/>
          <w:szCs w:val="28"/>
        </w:rPr>
        <w:t xml:space="preserve"> </w:t>
      </w:r>
    </w:p>
    <w:p w14:paraId="4ECAB04D" w14:textId="03D0E469" w:rsidR="008D754C" w:rsidRPr="004A4D63" w:rsidRDefault="0030283C" w:rsidP="0065383A">
      <w:pPr>
        <w:spacing w:line="480" w:lineRule="auto"/>
        <w:rPr>
          <w:sz w:val="28"/>
          <w:szCs w:val="28"/>
        </w:rPr>
      </w:pPr>
      <w:r w:rsidRPr="004A4D63">
        <w:rPr>
          <w:sz w:val="28"/>
          <w:szCs w:val="28"/>
        </w:rPr>
        <w:tab/>
      </w:r>
      <w:r w:rsidR="00A71495" w:rsidRPr="004A4D63">
        <w:rPr>
          <w:sz w:val="28"/>
          <w:szCs w:val="28"/>
        </w:rPr>
        <w:t>D</w:t>
      </w:r>
      <w:r w:rsidR="00674605" w:rsidRPr="004A4D63">
        <w:rPr>
          <w:sz w:val="28"/>
          <w:szCs w:val="28"/>
        </w:rPr>
        <w:t xml:space="preserve">elegation to staff of complaint issuance in routine cases </w:t>
      </w:r>
      <w:r w:rsidR="006033C5" w:rsidRPr="004A4D63">
        <w:rPr>
          <w:sz w:val="28"/>
          <w:szCs w:val="28"/>
        </w:rPr>
        <w:t>is a good id</w:t>
      </w:r>
      <w:r w:rsidR="00A71495" w:rsidRPr="004A4D63">
        <w:rPr>
          <w:sz w:val="28"/>
          <w:szCs w:val="28"/>
        </w:rPr>
        <w:t>e</w:t>
      </w:r>
      <w:r w:rsidR="006033C5" w:rsidRPr="004A4D63">
        <w:rPr>
          <w:sz w:val="28"/>
          <w:szCs w:val="28"/>
        </w:rPr>
        <w:t>a</w:t>
      </w:r>
      <w:r w:rsidR="00674605" w:rsidRPr="004A4D63">
        <w:rPr>
          <w:sz w:val="28"/>
          <w:szCs w:val="28"/>
        </w:rPr>
        <w:t>,</w:t>
      </w:r>
      <w:r w:rsidR="006033C5" w:rsidRPr="004A4D63">
        <w:rPr>
          <w:sz w:val="28"/>
          <w:szCs w:val="28"/>
        </w:rPr>
        <w:t xml:space="preserve"> </w:t>
      </w:r>
      <w:r w:rsidR="00674605" w:rsidRPr="004A4D63">
        <w:rPr>
          <w:sz w:val="28"/>
          <w:szCs w:val="28"/>
        </w:rPr>
        <w:t xml:space="preserve">especially in agencies with </w:t>
      </w:r>
      <w:r w:rsidR="00AF2DB5" w:rsidRPr="004A4D63">
        <w:rPr>
          <w:sz w:val="28"/>
          <w:szCs w:val="28"/>
        </w:rPr>
        <w:t>substantial enforcement caseloads.</w:t>
      </w:r>
      <w:r w:rsidRPr="004A4D63">
        <w:rPr>
          <w:sz w:val="28"/>
          <w:szCs w:val="28"/>
        </w:rPr>
        <w:t xml:space="preserve"> </w:t>
      </w:r>
      <w:r w:rsidR="008673B1" w:rsidRPr="004A4D63">
        <w:rPr>
          <w:sz w:val="28"/>
          <w:szCs w:val="28"/>
        </w:rPr>
        <w:t xml:space="preserve">Delegation </w:t>
      </w:r>
      <w:r w:rsidR="00AF2DB5" w:rsidRPr="004A4D63">
        <w:rPr>
          <w:sz w:val="28"/>
          <w:szCs w:val="28"/>
        </w:rPr>
        <w:t>would</w:t>
      </w:r>
      <w:r w:rsidR="009A5FF9" w:rsidRPr="004A4D63">
        <w:rPr>
          <w:sz w:val="28"/>
          <w:szCs w:val="28"/>
        </w:rPr>
        <w:t xml:space="preserve"> </w:t>
      </w:r>
      <w:r w:rsidR="000B46A8" w:rsidRPr="004A4D63">
        <w:rPr>
          <w:sz w:val="28"/>
          <w:szCs w:val="28"/>
        </w:rPr>
        <w:t>reduce the number of cases in which confirmation bias is a concern</w:t>
      </w:r>
      <w:r w:rsidR="006033C5" w:rsidRPr="004A4D63">
        <w:rPr>
          <w:sz w:val="28"/>
          <w:szCs w:val="28"/>
        </w:rPr>
        <w:t xml:space="preserve"> because the agency heads would never see them before the final adjudicatory stage. Delegation should also be </w:t>
      </w:r>
      <w:r w:rsidR="00F43F99" w:rsidRPr="004A4D63">
        <w:rPr>
          <w:sz w:val="28"/>
          <w:szCs w:val="28"/>
        </w:rPr>
        <w:t>e</w:t>
      </w:r>
      <w:r w:rsidR="000B46A8" w:rsidRPr="004A4D63">
        <w:rPr>
          <w:sz w:val="28"/>
          <w:szCs w:val="28"/>
        </w:rPr>
        <w:t>fficiency-enhancing by reducing the amount of time the heads</w:t>
      </w:r>
      <w:r w:rsidR="008673B1" w:rsidRPr="004A4D63">
        <w:rPr>
          <w:sz w:val="28"/>
          <w:szCs w:val="28"/>
        </w:rPr>
        <w:t xml:space="preserve"> need to </w:t>
      </w:r>
      <w:r w:rsidR="000B46A8" w:rsidRPr="004A4D63">
        <w:rPr>
          <w:sz w:val="28"/>
          <w:szCs w:val="28"/>
        </w:rPr>
        <w:t>spend on enforcement decisions</w:t>
      </w:r>
      <w:r w:rsidR="009368E1" w:rsidRPr="004A4D63">
        <w:rPr>
          <w:sz w:val="28"/>
          <w:szCs w:val="28"/>
        </w:rPr>
        <w:t>.</w:t>
      </w:r>
      <w:r w:rsidR="00A779A4" w:rsidRPr="004A4D63">
        <w:rPr>
          <w:sz w:val="28"/>
          <w:szCs w:val="28"/>
        </w:rPr>
        <w:t xml:space="preserve"> </w:t>
      </w:r>
      <w:r w:rsidRPr="004A4D63">
        <w:rPr>
          <w:sz w:val="28"/>
          <w:szCs w:val="28"/>
        </w:rPr>
        <w:t>Th</w:t>
      </w:r>
      <w:r w:rsidR="006033C5" w:rsidRPr="004A4D63">
        <w:rPr>
          <w:sz w:val="28"/>
          <w:szCs w:val="28"/>
        </w:rPr>
        <w:t xml:space="preserve">us, </w:t>
      </w:r>
      <w:r w:rsidRPr="004A4D63">
        <w:rPr>
          <w:sz w:val="28"/>
          <w:szCs w:val="28"/>
        </w:rPr>
        <w:t xml:space="preserve">agency heads could adopt procedural rules setting forth classes of cases that the staff could initiate on </w:t>
      </w:r>
      <w:r w:rsidR="000B4328" w:rsidRPr="004A4D63">
        <w:rPr>
          <w:sz w:val="28"/>
          <w:szCs w:val="28"/>
        </w:rPr>
        <w:t>its</w:t>
      </w:r>
      <w:r w:rsidRPr="004A4D63">
        <w:rPr>
          <w:sz w:val="28"/>
          <w:szCs w:val="28"/>
        </w:rPr>
        <w:t xml:space="preserve"> own. </w:t>
      </w:r>
      <w:r w:rsidR="006033C5" w:rsidRPr="004A4D63">
        <w:rPr>
          <w:sz w:val="28"/>
          <w:szCs w:val="28"/>
        </w:rPr>
        <w:t xml:space="preserve">Of course, </w:t>
      </w:r>
      <w:r w:rsidR="006033C5" w:rsidRPr="004A4D63">
        <w:rPr>
          <w:sz w:val="28"/>
          <w:szCs w:val="28"/>
        </w:rPr>
        <w:lastRenderedPageBreak/>
        <w:t>such rules are possible only if allowed by statute</w:t>
      </w:r>
      <w:r w:rsidR="00674605" w:rsidRPr="004A4D63">
        <w:rPr>
          <w:sz w:val="28"/>
          <w:szCs w:val="28"/>
        </w:rPr>
        <w:t xml:space="preserve">, because some </w:t>
      </w:r>
      <w:r w:rsidR="006033C5" w:rsidRPr="004A4D63">
        <w:rPr>
          <w:sz w:val="28"/>
          <w:szCs w:val="28"/>
        </w:rPr>
        <w:t>statutes require agency head approval of every complaint.</w:t>
      </w:r>
      <w:r w:rsidR="00B03F3A" w:rsidRPr="004A4D63">
        <w:rPr>
          <w:rStyle w:val="FootnoteReference"/>
          <w:sz w:val="28"/>
          <w:szCs w:val="28"/>
        </w:rPr>
        <w:footnoteReference w:id="180"/>
      </w:r>
      <w:r w:rsidR="006033C5" w:rsidRPr="004A4D63">
        <w:rPr>
          <w:sz w:val="28"/>
          <w:szCs w:val="28"/>
        </w:rPr>
        <w:t xml:space="preserve"> </w:t>
      </w:r>
      <w:r w:rsidR="006033C5" w:rsidRPr="004A4D63">
        <w:rPr>
          <w:sz w:val="28"/>
          <w:szCs w:val="28"/>
        </w:rPr>
        <w:tab/>
      </w:r>
    </w:p>
    <w:p w14:paraId="400B4854" w14:textId="45265412" w:rsidR="00A250CE" w:rsidRPr="004A4D63" w:rsidRDefault="008D754C" w:rsidP="0065383A">
      <w:pPr>
        <w:spacing w:line="480" w:lineRule="auto"/>
        <w:rPr>
          <w:sz w:val="28"/>
          <w:szCs w:val="28"/>
        </w:rPr>
      </w:pPr>
      <w:r w:rsidRPr="004A4D63">
        <w:rPr>
          <w:sz w:val="28"/>
          <w:szCs w:val="28"/>
        </w:rPr>
        <w:tab/>
        <w:t xml:space="preserve">Nevertheless, most of the interviewees </w:t>
      </w:r>
      <w:r w:rsidR="005A423E" w:rsidRPr="004A4D63">
        <w:rPr>
          <w:sz w:val="28"/>
          <w:szCs w:val="28"/>
        </w:rPr>
        <w:t xml:space="preserve">opposed </w:t>
      </w:r>
      <w:r w:rsidR="00674605" w:rsidRPr="004A4D63">
        <w:rPr>
          <w:sz w:val="28"/>
          <w:szCs w:val="28"/>
        </w:rPr>
        <w:t xml:space="preserve">delegation to the staff of complaint issuance. </w:t>
      </w:r>
      <w:r w:rsidR="005A423E" w:rsidRPr="004A4D63">
        <w:rPr>
          <w:sz w:val="28"/>
          <w:szCs w:val="28"/>
        </w:rPr>
        <w:t xml:space="preserve">They </w:t>
      </w:r>
      <w:r w:rsidRPr="004A4D63">
        <w:rPr>
          <w:sz w:val="28"/>
          <w:szCs w:val="28"/>
        </w:rPr>
        <w:t xml:space="preserve">thought it would be difficult to identify precisely </w:t>
      </w:r>
      <w:r w:rsidR="00945742" w:rsidRPr="004A4D63">
        <w:rPr>
          <w:sz w:val="28"/>
          <w:szCs w:val="28"/>
        </w:rPr>
        <w:t xml:space="preserve">which </w:t>
      </w:r>
      <w:r w:rsidRPr="004A4D63">
        <w:rPr>
          <w:sz w:val="28"/>
          <w:szCs w:val="28"/>
        </w:rPr>
        <w:t>cases are routine or unimportant</w:t>
      </w:r>
      <w:r w:rsidR="00945742" w:rsidRPr="004A4D63">
        <w:rPr>
          <w:sz w:val="28"/>
          <w:szCs w:val="28"/>
        </w:rPr>
        <w:t>.</w:t>
      </w:r>
      <w:r w:rsidR="004D6ED8" w:rsidRPr="004A4D63">
        <w:rPr>
          <w:rStyle w:val="FootnoteReference"/>
          <w:sz w:val="28"/>
          <w:szCs w:val="28"/>
        </w:rPr>
        <w:footnoteReference w:id="181"/>
      </w:r>
      <w:r w:rsidR="00945742" w:rsidRPr="004A4D63">
        <w:rPr>
          <w:sz w:val="28"/>
          <w:szCs w:val="28"/>
        </w:rPr>
        <w:t xml:space="preserve"> </w:t>
      </w:r>
      <w:r w:rsidR="008673B1" w:rsidRPr="004A4D63">
        <w:rPr>
          <w:sz w:val="28"/>
          <w:szCs w:val="28"/>
        </w:rPr>
        <w:t>At FERC, relatively few enforcement cases are litigated rather than settled; the ones that remain tend to involve policy questions.</w:t>
      </w:r>
      <w:r w:rsidR="008673B1" w:rsidRPr="004A4D63">
        <w:rPr>
          <w:rStyle w:val="FootnoteReference"/>
          <w:sz w:val="28"/>
          <w:szCs w:val="28"/>
        </w:rPr>
        <w:footnoteReference w:id="182"/>
      </w:r>
      <w:r w:rsidR="008673B1" w:rsidRPr="004A4D63">
        <w:rPr>
          <w:sz w:val="28"/>
          <w:szCs w:val="28"/>
        </w:rPr>
        <w:t xml:space="preserve"> </w:t>
      </w:r>
      <w:r w:rsidR="00F85AB0" w:rsidRPr="004A4D63">
        <w:rPr>
          <w:sz w:val="28"/>
          <w:szCs w:val="28"/>
        </w:rPr>
        <w:t xml:space="preserve">Even </w:t>
      </w:r>
      <w:r w:rsidR="006033C5" w:rsidRPr="004A4D63">
        <w:rPr>
          <w:sz w:val="28"/>
          <w:szCs w:val="28"/>
        </w:rPr>
        <w:t>i</w:t>
      </w:r>
      <w:r w:rsidR="00945742" w:rsidRPr="004A4D63">
        <w:rPr>
          <w:sz w:val="28"/>
          <w:szCs w:val="28"/>
        </w:rPr>
        <w:t xml:space="preserve">f the case turns on evidentiary </w:t>
      </w:r>
      <w:r w:rsidR="006033C5" w:rsidRPr="004A4D63">
        <w:rPr>
          <w:sz w:val="28"/>
          <w:szCs w:val="28"/>
        </w:rPr>
        <w:t xml:space="preserve">issues rather than disputed legal questions, </w:t>
      </w:r>
      <w:r w:rsidR="00945742" w:rsidRPr="004A4D63">
        <w:rPr>
          <w:sz w:val="28"/>
          <w:szCs w:val="28"/>
        </w:rPr>
        <w:t xml:space="preserve">these evidentiary </w:t>
      </w:r>
      <w:r w:rsidR="000B46A8" w:rsidRPr="004A4D63">
        <w:rPr>
          <w:sz w:val="28"/>
          <w:szCs w:val="28"/>
        </w:rPr>
        <w:t xml:space="preserve">issues </w:t>
      </w:r>
      <w:r w:rsidR="006033C5" w:rsidRPr="004A4D63">
        <w:rPr>
          <w:sz w:val="28"/>
          <w:szCs w:val="28"/>
        </w:rPr>
        <w:t xml:space="preserve">may be </w:t>
      </w:r>
      <w:r w:rsidR="000B46A8" w:rsidRPr="004A4D63">
        <w:rPr>
          <w:sz w:val="28"/>
          <w:szCs w:val="28"/>
        </w:rPr>
        <w:t xml:space="preserve">controversial and of fundamental importance, </w:t>
      </w:r>
      <w:r w:rsidR="005A423E" w:rsidRPr="004A4D63">
        <w:rPr>
          <w:sz w:val="28"/>
          <w:szCs w:val="28"/>
        </w:rPr>
        <w:t xml:space="preserve">especially </w:t>
      </w:r>
      <w:r w:rsidR="00945742" w:rsidRPr="004A4D63">
        <w:rPr>
          <w:sz w:val="28"/>
          <w:szCs w:val="28"/>
        </w:rPr>
        <w:t xml:space="preserve">in competition </w:t>
      </w:r>
      <w:r w:rsidR="00015CBB" w:rsidRPr="004A4D63">
        <w:rPr>
          <w:sz w:val="28"/>
          <w:szCs w:val="28"/>
        </w:rPr>
        <w:t xml:space="preserve">and securities </w:t>
      </w:r>
      <w:r w:rsidR="00945742" w:rsidRPr="004A4D63">
        <w:rPr>
          <w:sz w:val="28"/>
          <w:szCs w:val="28"/>
        </w:rPr>
        <w:t xml:space="preserve">cases.  </w:t>
      </w:r>
      <w:r w:rsidR="005A423E" w:rsidRPr="004A4D63">
        <w:rPr>
          <w:sz w:val="28"/>
          <w:szCs w:val="28"/>
        </w:rPr>
        <w:t xml:space="preserve">Even routine cases involve the expenditure of resources and can create precedents that may have important effects on the regulated industry.  </w:t>
      </w:r>
      <w:r w:rsidR="00582713" w:rsidRPr="004A4D63">
        <w:rPr>
          <w:sz w:val="28"/>
          <w:szCs w:val="28"/>
        </w:rPr>
        <w:t>Former commission membe</w:t>
      </w:r>
      <w:r w:rsidR="005A423E" w:rsidRPr="004A4D63">
        <w:rPr>
          <w:sz w:val="28"/>
          <w:szCs w:val="28"/>
        </w:rPr>
        <w:t>r</w:t>
      </w:r>
      <w:r w:rsidR="00582713" w:rsidRPr="004A4D63">
        <w:rPr>
          <w:sz w:val="28"/>
          <w:szCs w:val="28"/>
        </w:rPr>
        <w:t>s think that complaints in routine cases sho</w:t>
      </w:r>
      <w:r w:rsidR="00AC53C3" w:rsidRPr="004A4D63">
        <w:rPr>
          <w:sz w:val="28"/>
          <w:szCs w:val="28"/>
        </w:rPr>
        <w:t>u</w:t>
      </w:r>
      <w:r w:rsidR="00582713" w:rsidRPr="004A4D63">
        <w:rPr>
          <w:sz w:val="28"/>
          <w:szCs w:val="28"/>
        </w:rPr>
        <w:t>ld be approved by po</w:t>
      </w:r>
      <w:r w:rsidR="005A423E" w:rsidRPr="004A4D63">
        <w:rPr>
          <w:sz w:val="28"/>
          <w:szCs w:val="28"/>
        </w:rPr>
        <w:t>l</w:t>
      </w:r>
      <w:r w:rsidR="00582713" w:rsidRPr="004A4D63">
        <w:rPr>
          <w:sz w:val="28"/>
          <w:szCs w:val="28"/>
        </w:rPr>
        <w:t>itically responsible agency heads</w:t>
      </w:r>
      <w:r w:rsidR="005A423E" w:rsidRPr="004A4D63">
        <w:rPr>
          <w:sz w:val="28"/>
          <w:szCs w:val="28"/>
        </w:rPr>
        <w:t xml:space="preserve"> in light of the importance of the cases to the particular parties</w:t>
      </w:r>
      <w:r w:rsidR="004D6ED8" w:rsidRPr="004A4D63">
        <w:rPr>
          <w:rStyle w:val="FootnoteReference"/>
          <w:sz w:val="28"/>
          <w:szCs w:val="28"/>
        </w:rPr>
        <w:footnoteReference w:id="183"/>
      </w:r>
      <w:r w:rsidR="00015CBB" w:rsidRPr="004A4D63">
        <w:rPr>
          <w:sz w:val="28"/>
          <w:szCs w:val="28"/>
        </w:rPr>
        <w:t xml:space="preserve"> and the sentinel effect.</w:t>
      </w:r>
      <w:r w:rsidR="004D6ED8" w:rsidRPr="004A4D63">
        <w:rPr>
          <w:rStyle w:val="FootnoteReference"/>
          <w:sz w:val="28"/>
          <w:szCs w:val="28"/>
        </w:rPr>
        <w:footnoteReference w:id="184"/>
      </w:r>
      <w:r w:rsidR="005A423E" w:rsidRPr="004A4D63">
        <w:rPr>
          <w:sz w:val="28"/>
          <w:szCs w:val="28"/>
        </w:rPr>
        <w:t xml:space="preserve"> Private l</w:t>
      </w:r>
      <w:r w:rsidR="00945742" w:rsidRPr="004A4D63">
        <w:rPr>
          <w:sz w:val="28"/>
          <w:szCs w:val="28"/>
        </w:rPr>
        <w:t>awyers want the commission</w:t>
      </w:r>
      <w:r w:rsidR="005A423E" w:rsidRPr="004A4D63">
        <w:rPr>
          <w:sz w:val="28"/>
          <w:szCs w:val="28"/>
        </w:rPr>
        <w:t>-</w:t>
      </w:r>
      <w:r w:rsidR="00945742" w:rsidRPr="004A4D63">
        <w:rPr>
          <w:sz w:val="28"/>
          <w:szCs w:val="28"/>
        </w:rPr>
        <w:t>level bite at the apple, even if the case seems routine.</w:t>
      </w:r>
    </w:p>
    <w:p w14:paraId="57CBF12A" w14:textId="1132D8B6" w:rsidR="00A250CE" w:rsidRPr="004A4D63" w:rsidRDefault="00A250CE" w:rsidP="0065383A">
      <w:pPr>
        <w:spacing w:line="480" w:lineRule="auto"/>
        <w:rPr>
          <w:sz w:val="28"/>
          <w:szCs w:val="28"/>
        </w:rPr>
      </w:pPr>
      <w:r w:rsidRPr="004A4D63">
        <w:rPr>
          <w:sz w:val="28"/>
          <w:szCs w:val="28"/>
        </w:rPr>
        <w:lastRenderedPageBreak/>
        <w:tab/>
      </w:r>
    </w:p>
    <w:p w14:paraId="1108F4F8" w14:textId="71F87A2A" w:rsidR="0030283C" w:rsidRPr="004A4D63" w:rsidRDefault="004C7D3E" w:rsidP="0073256E">
      <w:pPr>
        <w:spacing w:line="480" w:lineRule="auto"/>
        <w:outlineLvl w:val="0"/>
        <w:rPr>
          <w:b/>
          <w:bCs/>
          <w:sz w:val="28"/>
          <w:szCs w:val="28"/>
        </w:rPr>
      </w:pPr>
      <w:r w:rsidRPr="004A4D63">
        <w:rPr>
          <w:b/>
          <w:bCs/>
          <w:sz w:val="28"/>
          <w:szCs w:val="28"/>
        </w:rPr>
        <w:t>E</w:t>
      </w:r>
      <w:r w:rsidR="0030283C" w:rsidRPr="004A4D63">
        <w:rPr>
          <w:b/>
          <w:bCs/>
          <w:sz w:val="28"/>
          <w:szCs w:val="28"/>
        </w:rPr>
        <w:t xml:space="preserve">. </w:t>
      </w:r>
      <w:r w:rsidR="00EA7DC6" w:rsidRPr="004A4D63">
        <w:rPr>
          <w:b/>
          <w:bCs/>
          <w:sz w:val="28"/>
          <w:szCs w:val="28"/>
        </w:rPr>
        <w:t>DISQUALIFICATION OF AGENCY HEADS WHO PARTICIPATED IN CHARGING DECISIONS</w:t>
      </w:r>
    </w:p>
    <w:p w14:paraId="273AF4CF" w14:textId="70670E08" w:rsidR="0025153D" w:rsidRPr="004A4D63" w:rsidRDefault="0030283C" w:rsidP="0065383A">
      <w:pPr>
        <w:spacing w:line="480" w:lineRule="auto"/>
        <w:rPr>
          <w:sz w:val="28"/>
          <w:szCs w:val="28"/>
        </w:rPr>
      </w:pPr>
      <w:r w:rsidRPr="004A4D63">
        <w:rPr>
          <w:sz w:val="28"/>
          <w:szCs w:val="28"/>
        </w:rPr>
        <w:tab/>
      </w:r>
      <w:r w:rsidR="002E0087" w:rsidRPr="004A4D63">
        <w:rPr>
          <w:sz w:val="28"/>
          <w:szCs w:val="28"/>
        </w:rPr>
        <w:t xml:space="preserve">Agency members who voted to greenlight a case could be </w:t>
      </w:r>
      <w:r w:rsidR="0025153D" w:rsidRPr="004A4D63">
        <w:rPr>
          <w:sz w:val="28"/>
          <w:szCs w:val="28"/>
        </w:rPr>
        <w:t>disqualifi</w:t>
      </w:r>
      <w:r w:rsidR="002E0087" w:rsidRPr="004A4D63">
        <w:rPr>
          <w:sz w:val="28"/>
          <w:szCs w:val="28"/>
        </w:rPr>
        <w:t xml:space="preserve">ed </w:t>
      </w:r>
      <w:r w:rsidR="0025153D" w:rsidRPr="004A4D63">
        <w:rPr>
          <w:sz w:val="28"/>
          <w:szCs w:val="28"/>
        </w:rPr>
        <w:t>from voting on the final adjudicatory decision</w:t>
      </w:r>
      <w:r w:rsidR="002E0087" w:rsidRPr="004A4D63">
        <w:rPr>
          <w:sz w:val="28"/>
          <w:szCs w:val="28"/>
        </w:rPr>
        <w:t>.</w:t>
      </w:r>
      <w:r w:rsidR="0025153D" w:rsidRPr="004A4D63">
        <w:rPr>
          <w:sz w:val="28"/>
          <w:szCs w:val="28"/>
        </w:rPr>
        <w:t xml:space="preserve"> Andrew Vollmer, who was a former SEC staff member, has strongly advocated this proposal.</w:t>
      </w:r>
      <w:r w:rsidR="004D6ED8" w:rsidRPr="004A4D63">
        <w:rPr>
          <w:rStyle w:val="FootnoteReference"/>
          <w:sz w:val="28"/>
          <w:szCs w:val="28"/>
        </w:rPr>
        <w:footnoteReference w:id="185"/>
      </w:r>
      <w:r w:rsidRPr="004A4D63">
        <w:rPr>
          <w:sz w:val="28"/>
          <w:szCs w:val="28"/>
        </w:rPr>
        <w:t xml:space="preserve"> </w:t>
      </w:r>
    </w:p>
    <w:p w14:paraId="01D089EC" w14:textId="175C02F8" w:rsidR="005A423E" w:rsidRPr="004A4D63" w:rsidRDefault="0025153D" w:rsidP="0065383A">
      <w:pPr>
        <w:spacing w:line="480" w:lineRule="auto"/>
        <w:rPr>
          <w:sz w:val="28"/>
          <w:szCs w:val="28"/>
        </w:rPr>
      </w:pPr>
      <w:r w:rsidRPr="004A4D63">
        <w:rPr>
          <w:sz w:val="28"/>
          <w:szCs w:val="28"/>
        </w:rPr>
        <w:tab/>
      </w:r>
      <w:r w:rsidR="00E151F7" w:rsidRPr="004A4D63">
        <w:rPr>
          <w:sz w:val="28"/>
          <w:szCs w:val="28"/>
        </w:rPr>
        <w:t xml:space="preserve">One </w:t>
      </w:r>
      <w:r w:rsidR="0030283C" w:rsidRPr="004A4D63">
        <w:rPr>
          <w:sz w:val="28"/>
          <w:szCs w:val="28"/>
        </w:rPr>
        <w:t xml:space="preserve">practical problem with </w:t>
      </w:r>
      <w:r w:rsidRPr="004A4D63">
        <w:rPr>
          <w:sz w:val="28"/>
          <w:szCs w:val="28"/>
        </w:rPr>
        <w:t xml:space="preserve">Vollmer’s </w:t>
      </w:r>
      <w:r w:rsidR="0030283C" w:rsidRPr="004A4D63">
        <w:rPr>
          <w:sz w:val="28"/>
          <w:szCs w:val="28"/>
        </w:rPr>
        <w:t>proposal</w:t>
      </w:r>
      <w:r w:rsidR="00E151F7" w:rsidRPr="004A4D63">
        <w:rPr>
          <w:sz w:val="28"/>
          <w:szCs w:val="28"/>
        </w:rPr>
        <w:t xml:space="preserve"> is that </w:t>
      </w:r>
      <w:r w:rsidRPr="004A4D63">
        <w:rPr>
          <w:sz w:val="28"/>
          <w:szCs w:val="28"/>
        </w:rPr>
        <w:t xml:space="preserve">such disqualifications might render </w:t>
      </w:r>
      <w:r w:rsidR="00E151F7" w:rsidRPr="004A4D63">
        <w:rPr>
          <w:sz w:val="28"/>
          <w:szCs w:val="28"/>
        </w:rPr>
        <w:t xml:space="preserve">the </w:t>
      </w:r>
      <w:r w:rsidR="0030283C" w:rsidRPr="004A4D63">
        <w:rPr>
          <w:sz w:val="28"/>
          <w:szCs w:val="28"/>
        </w:rPr>
        <w:t xml:space="preserve">agency unable to muster a quorum to vote on the final decision, causing the </w:t>
      </w:r>
      <w:r w:rsidR="002E0087" w:rsidRPr="004A4D63">
        <w:rPr>
          <w:sz w:val="28"/>
          <w:szCs w:val="28"/>
        </w:rPr>
        <w:t xml:space="preserve">decision in the </w:t>
      </w:r>
      <w:r w:rsidR="0030283C" w:rsidRPr="004A4D63">
        <w:rPr>
          <w:sz w:val="28"/>
          <w:szCs w:val="28"/>
        </w:rPr>
        <w:t>case to be suspended indefinitely.</w:t>
      </w:r>
      <w:r w:rsidR="00E151F7" w:rsidRPr="004A4D63">
        <w:rPr>
          <w:sz w:val="28"/>
          <w:szCs w:val="28"/>
        </w:rPr>
        <w:t xml:space="preserve"> This </w:t>
      </w:r>
      <w:r w:rsidR="002E0087" w:rsidRPr="004A4D63">
        <w:rPr>
          <w:sz w:val="28"/>
          <w:szCs w:val="28"/>
        </w:rPr>
        <w:t xml:space="preserve">would </w:t>
      </w:r>
      <w:r w:rsidR="00E151F7" w:rsidRPr="004A4D63">
        <w:rPr>
          <w:sz w:val="28"/>
          <w:szCs w:val="28"/>
        </w:rPr>
        <w:t xml:space="preserve">not occur </w:t>
      </w:r>
      <w:r w:rsidR="009C48BE" w:rsidRPr="004A4D63">
        <w:rPr>
          <w:sz w:val="28"/>
          <w:szCs w:val="28"/>
        </w:rPr>
        <w:t>frequently</w:t>
      </w:r>
      <w:r w:rsidR="001829FD" w:rsidRPr="004A4D63">
        <w:rPr>
          <w:sz w:val="28"/>
          <w:szCs w:val="28"/>
        </w:rPr>
        <w:t>,</w:t>
      </w:r>
      <w:r w:rsidR="009C48BE" w:rsidRPr="004A4D63">
        <w:rPr>
          <w:sz w:val="28"/>
          <w:szCs w:val="28"/>
        </w:rPr>
        <w:t xml:space="preserve"> </w:t>
      </w:r>
      <w:r w:rsidRPr="004A4D63">
        <w:rPr>
          <w:sz w:val="28"/>
          <w:szCs w:val="28"/>
        </w:rPr>
        <w:t>given t</w:t>
      </w:r>
      <w:r w:rsidR="0030283C" w:rsidRPr="004A4D63">
        <w:rPr>
          <w:sz w:val="28"/>
          <w:szCs w:val="28"/>
        </w:rPr>
        <w:t>he fairly rapid turnover of agency heads</w:t>
      </w:r>
      <w:r w:rsidR="00E151F7" w:rsidRPr="004A4D63">
        <w:rPr>
          <w:sz w:val="28"/>
          <w:szCs w:val="28"/>
        </w:rPr>
        <w:t>, but it would occur occasionally</w:t>
      </w:r>
      <w:r w:rsidR="009C48BE" w:rsidRPr="004A4D63">
        <w:rPr>
          <w:sz w:val="28"/>
          <w:szCs w:val="28"/>
        </w:rPr>
        <w:t xml:space="preserve">, especially during presidential transitions when the confirmation process causes substantial delays in filling vacancies. </w:t>
      </w:r>
      <w:r w:rsidRPr="004A4D63">
        <w:rPr>
          <w:sz w:val="28"/>
          <w:szCs w:val="28"/>
        </w:rPr>
        <w:t>V</w:t>
      </w:r>
      <w:r w:rsidR="00CF01F8" w:rsidRPr="004A4D63">
        <w:rPr>
          <w:sz w:val="28"/>
          <w:szCs w:val="28"/>
        </w:rPr>
        <w:t xml:space="preserve">irtually </w:t>
      </w:r>
      <w:r w:rsidRPr="004A4D63">
        <w:rPr>
          <w:sz w:val="28"/>
          <w:szCs w:val="28"/>
        </w:rPr>
        <w:t xml:space="preserve">everyone </w:t>
      </w:r>
      <w:r w:rsidR="00CF01F8" w:rsidRPr="004A4D63">
        <w:rPr>
          <w:sz w:val="28"/>
          <w:szCs w:val="28"/>
        </w:rPr>
        <w:t>I interviewed opposed this proposal</w:t>
      </w:r>
      <w:r w:rsidR="00F32EF2" w:rsidRPr="004A4D63">
        <w:rPr>
          <w:sz w:val="28"/>
          <w:szCs w:val="28"/>
        </w:rPr>
        <w:t>, including many who now serve in the defense bar.</w:t>
      </w:r>
      <w:r w:rsidR="00CF01F8" w:rsidRPr="004A4D63">
        <w:rPr>
          <w:rStyle w:val="FootnoteReference"/>
          <w:sz w:val="28"/>
          <w:szCs w:val="28"/>
        </w:rPr>
        <w:footnoteReference w:id="186"/>
      </w:r>
      <w:r w:rsidR="00CF01F8" w:rsidRPr="004A4D63">
        <w:rPr>
          <w:sz w:val="28"/>
          <w:szCs w:val="28"/>
        </w:rPr>
        <w:t xml:space="preserve"> </w:t>
      </w:r>
    </w:p>
    <w:p w14:paraId="7A720DFA" w14:textId="059E3E21" w:rsidR="0025153D" w:rsidRPr="004A4D63" w:rsidRDefault="005A423E" w:rsidP="0065383A">
      <w:pPr>
        <w:spacing w:line="480" w:lineRule="auto"/>
        <w:rPr>
          <w:sz w:val="28"/>
          <w:szCs w:val="28"/>
        </w:rPr>
      </w:pPr>
      <w:r w:rsidRPr="004A4D63">
        <w:rPr>
          <w:sz w:val="28"/>
          <w:szCs w:val="28"/>
        </w:rPr>
        <w:tab/>
      </w:r>
      <w:r w:rsidR="0030283C" w:rsidRPr="004A4D63">
        <w:rPr>
          <w:sz w:val="28"/>
          <w:szCs w:val="28"/>
        </w:rPr>
        <w:t xml:space="preserve">More fundamentally, </w:t>
      </w:r>
      <w:r w:rsidR="001829FD" w:rsidRPr="004A4D63">
        <w:rPr>
          <w:sz w:val="28"/>
          <w:szCs w:val="28"/>
        </w:rPr>
        <w:t xml:space="preserve">Vollmer’s </w:t>
      </w:r>
      <w:r w:rsidR="0030283C" w:rsidRPr="004A4D63">
        <w:rPr>
          <w:sz w:val="28"/>
          <w:szCs w:val="28"/>
        </w:rPr>
        <w:t xml:space="preserve">proposal would </w:t>
      </w:r>
      <w:r w:rsidR="002618C5">
        <w:rPr>
          <w:sz w:val="28"/>
          <w:szCs w:val="28"/>
        </w:rPr>
        <w:t xml:space="preserve">force </w:t>
      </w:r>
      <w:r w:rsidR="002F1086">
        <w:rPr>
          <w:sz w:val="28"/>
          <w:szCs w:val="28"/>
        </w:rPr>
        <w:t xml:space="preserve">agency heads </w:t>
      </w:r>
      <w:r w:rsidR="0030283C" w:rsidRPr="004A4D63">
        <w:rPr>
          <w:sz w:val="28"/>
          <w:szCs w:val="28"/>
        </w:rPr>
        <w:t xml:space="preserve">(at least those who have not </w:t>
      </w:r>
      <w:r w:rsidR="00D2032E" w:rsidRPr="004A4D63">
        <w:rPr>
          <w:sz w:val="28"/>
          <w:szCs w:val="28"/>
        </w:rPr>
        <w:t>decided</w:t>
      </w:r>
      <w:r w:rsidR="0030283C" w:rsidRPr="004A4D63">
        <w:rPr>
          <w:sz w:val="28"/>
          <w:szCs w:val="28"/>
        </w:rPr>
        <w:t xml:space="preserve"> to leave </w:t>
      </w:r>
      <w:r w:rsidR="001829FD" w:rsidRPr="004A4D63">
        <w:rPr>
          <w:sz w:val="28"/>
          <w:szCs w:val="28"/>
        </w:rPr>
        <w:t>the agency in the near future</w:t>
      </w:r>
      <w:r w:rsidRPr="004A4D63">
        <w:rPr>
          <w:sz w:val="28"/>
          <w:szCs w:val="28"/>
        </w:rPr>
        <w:t>)</w:t>
      </w:r>
      <w:r w:rsidR="00945742" w:rsidRPr="004A4D63">
        <w:rPr>
          <w:sz w:val="28"/>
          <w:szCs w:val="28"/>
        </w:rPr>
        <w:t xml:space="preserve"> </w:t>
      </w:r>
      <w:r w:rsidR="0030283C" w:rsidRPr="004A4D63">
        <w:rPr>
          <w:sz w:val="28"/>
          <w:szCs w:val="28"/>
        </w:rPr>
        <w:t xml:space="preserve">to </w:t>
      </w:r>
      <w:r w:rsidR="002618C5">
        <w:rPr>
          <w:sz w:val="28"/>
          <w:szCs w:val="28"/>
        </w:rPr>
        <w:t xml:space="preserve">make </w:t>
      </w:r>
      <w:r w:rsidR="0030283C" w:rsidRPr="004A4D63">
        <w:rPr>
          <w:sz w:val="28"/>
          <w:szCs w:val="28"/>
        </w:rPr>
        <w:t xml:space="preserve">a </w:t>
      </w:r>
      <w:r w:rsidR="0025153D" w:rsidRPr="004A4D63">
        <w:rPr>
          <w:sz w:val="28"/>
          <w:szCs w:val="28"/>
        </w:rPr>
        <w:t xml:space="preserve">difficult </w:t>
      </w:r>
      <w:r w:rsidR="0030283C" w:rsidRPr="004A4D63">
        <w:rPr>
          <w:sz w:val="28"/>
          <w:szCs w:val="28"/>
        </w:rPr>
        <w:t>choice</w:t>
      </w:r>
      <w:r w:rsidR="0025153D" w:rsidRPr="004A4D63">
        <w:rPr>
          <w:sz w:val="28"/>
          <w:szCs w:val="28"/>
        </w:rPr>
        <w:t>.  Sh</w:t>
      </w:r>
      <w:r w:rsidR="0030283C" w:rsidRPr="004A4D63">
        <w:rPr>
          <w:sz w:val="28"/>
          <w:szCs w:val="28"/>
        </w:rPr>
        <w:t xml:space="preserve">ould they disqualify themselves from </w:t>
      </w:r>
      <w:r w:rsidR="004373CC" w:rsidRPr="004A4D63">
        <w:rPr>
          <w:sz w:val="28"/>
          <w:szCs w:val="28"/>
        </w:rPr>
        <w:t xml:space="preserve">greenlighting </w:t>
      </w:r>
      <w:r w:rsidR="00B511A4" w:rsidRPr="004A4D63">
        <w:rPr>
          <w:sz w:val="28"/>
          <w:szCs w:val="28"/>
        </w:rPr>
        <w:t xml:space="preserve">a case to </w:t>
      </w:r>
      <w:r w:rsidR="0025153D" w:rsidRPr="004A4D63">
        <w:rPr>
          <w:sz w:val="28"/>
          <w:szCs w:val="28"/>
        </w:rPr>
        <w:t xml:space="preserve">preserve the ability to vote on the final decision, or should they retain the </w:t>
      </w:r>
      <w:r w:rsidR="0025153D" w:rsidRPr="004A4D63">
        <w:rPr>
          <w:sz w:val="28"/>
          <w:szCs w:val="28"/>
        </w:rPr>
        <w:lastRenderedPageBreak/>
        <w:t xml:space="preserve">greenlighting function and give up </w:t>
      </w:r>
      <w:r w:rsidR="00B511A4" w:rsidRPr="004A4D63">
        <w:rPr>
          <w:sz w:val="28"/>
          <w:szCs w:val="28"/>
        </w:rPr>
        <w:t xml:space="preserve">their vote </w:t>
      </w:r>
      <w:r w:rsidR="001829FD" w:rsidRPr="004A4D63">
        <w:rPr>
          <w:sz w:val="28"/>
          <w:szCs w:val="28"/>
        </w:rPr>
        <w:t xml:space="preserve">on </w:t>
      </w:r>
      <w:r w:rsidR="0025153D" w:rsidRPr="004A4D63">
        <w:rPr>
          <w:sz w:val="28"/>
          <w:szCs w:val="28"/>
        </w:rPr>
        <w:t xml:space="preserve">the </w:t>
      </w:r>
      <w:r w:rsidR="001829FD" w:rsidRPr="004A4D63">
        <w:rPr>
          <w:sz w:val="28"/>
          <w:szCs w:val="28"/>
        </w:rPr>
        <w:t xml:space="preserve">final </w:t>
      </w:r>
      <w:r w:rsidR="0025153D" w:rsidRPr="004A4D63">
        <w:rPr>
          <w:sz w:val="28"/>
          <w:szCs w:val="28"/>
        </w:rPr>
        <w:t>adjudicatory decision?</w:t>
      </w:r>
      <w:r w:rsidR="0030283C" w:rsidRPr="004A4D63">
        <w:rPr>
          <w:sz w:val="28"/>
          <w:szCs w:val="28"/>
        </w:rPr>
        <w:t xml:space="preserve">  </w:t>
      </w:r>
      <w:r w:rsidR="009C48BE" w:rsidRPr="004A4D63">
        <w:rPr>
          <w:sz w:val="28"/>
          <w:szCs w:val="28"/>
        </w:rPr>
        <w:t xml:space="preserve">Some former </w:t>
      </w:r>
      <w:r w:rsidR="0030283C" w:rsidRPr="004A4D63">
        <w:rPr>
          <w:sz w:val="28"/>
          <w:szCs w:val="28"/>
        </w:rPr>
        <w:t>agency head</w:t>
      </w:r>
      <w:r w:rsidR="008D754C" w:rsidRPr="004A4D63">
        <w:rPr>
          <w:sz w:val="28"/>
          <w:szCs w:val="28"/>
        </w:rPr>
        <w:t>s</w:t>
      </w:r>
      <w:r w:rsidR="0030283C" w:rsidRPr="004A4D63">
        <w:rPr>
          <w:sz w:val="28"/>
          <w:szCs w:val="28"/>
        </w:rPr>
        <w:t xml:space="preserve"> </w:t>
      </w:r>
      <w:r w:rsidR="009C48BE" w:rsidRPr="004A4D63">
        <w:rPr>
          <w:sz w:val="28"/>
          <w:szCs w:val="28"/>
        </w:rPr>
        <w:t xml:space="preserve">who answered </w:t>
      </w:r>
      <w:r w:rsidR="0030283C" w:rsidRPr="004A4D63">
        <w:rPr>
          <w:sz w:val="28"/>
          <w:szCs w:val="28"/>
        </w:rPr>
        <w:t>this quest</w:t>
      </w:r>
      <w:r w:rsidR="00582713" w:rsidRPr="004A4D63">
        <w:rPr>
          <w:sz w:val="28"/>
          <w:szCs w:val="28"/>
        </w:rPr>
        <w:t>i</w:t>
      </w:r>
      <w:r w:rsidR="0030283C" w:rsidRPr="004A4D63">
        <w:rPr>
          <w:sz w:val="28"/>
          <w:szCs w:val="28"/>
        </w:rPr>
        <w:t>on</w:t>
      </w:r>
      <w:r w:rsidR="00151BAC" w:rsidRPr="004A4D63">
        <w:rPr>
          <w:sz w:val="28"/>
          <w:szCs w:val="28"/>
        </w:rPr>
        <w:t xml:space="preserve"> </w:t>
      </w:r>
      <w:r w:rsidR="0030283C" w:rsidRPr="004A4D63">
        <w:rPr>
          <w:sz w:val="28"/>
          <w:szCs w:val="28"/>
        </w:rPr>
        <w:t xml:space="preserve">said </w:t>
      </w:r>
      <w:r w:rsidR="004373CC" w:rsidRPr="004A4D63">
        <w:rPr>
          <w:sz w:val="28"/>
          <w:szCs w:val="28"/>
        </w:rPr>
        <w:t>t</w:t>
      </w:r>
      <w:r w:rsidR="00A9702E" w:rsidRPr="004A4D63">
        <w:rPr>
          <w:sz w:val="28"/>
          <w:szCs w:val="28"/>
        </w:rPr>
        <w:t>hey would opt out of the charging decision</w:t>
      </w:r>
      <w:r w:rsidR="004373CC" w:rsidRPr="004A4D63">
        <w:rPr>
          <w:sz w:val="28"/>
          <w:szCs w:val="28"/>
        </w:rPr>
        <w:t xml:space="preserve"> because of the importance of being able to make policy through the adjudicatory decision.</w:t>
      </w:r>
      <w:r w:rsidR="00597060" w:rsidRPr="004A4D63">
        <w:rPr>
          <w:rStyle w:val="FootnoteReference"/>
          <w:sz w:val="28"/>
          <w:szCs w:val="28"/>
        </w:rPr>
        <w:footnoteReference w:id="187"/>
      </w:r>
      <w:r w:rsidR="00AF2DB5" w:rsidRPr="004A4D63">
        <w:rPr>
          <w:sz w:val="28"/>
          <w:szCs w:val="28"/>
        </w:rPr>
        <w:t xml:space="preserve"> </w:t>
      </w:r>
      <w:r w:rsidR="009C48BE" w:rsidRPr="004A4D63">
        <w:rPr>
          <w:sz w:val="28"/>
          <w:szCs w:val="28"/>
        </w:rPr>
        <w:t xml:space="preserve">Others </w:t>
      </w:r>
      <w:r w:rsidR="004373CC" w:rsidRPr="004A4D63">
        <w:rPr>
          <w:sz w:val="28"/>
          <w:szCs w:val="28"/>
        </w:rPr>
        <w:t xml:space="preserve">said they would opt out of </w:t>
      </w:r>
      <w:r w:rsidR="002E0087" w:rsidRPr="004A4D63">
        <w:rPr>
          <w:sz w:val="28"/>
          <w:szCs w:val="28"/>
        </w:rPr>
        <w:t xml:space="preserve">the final decision </w:t>
      </w:r>
      <w:r w:rsidR="004373CC" w:rsidRPr="004A4D63">
        <w:rPr>
          <w:sz w:val="28"/>
          <w:szCs w:val="28"/>
        </w:rPr>
        <w:t xml:space="preserve">because the charging decisions are so important and so much more numerous than cases that survive all the way to the </w:t>
      </w:r>
      <w:r w:rsidR="000A5DF3" w:rsidRPr="004A4D63">
        <w:rPr>
          <w:sz w:val="28"/>
          <w:szCs w:val="28"/>
        </w:rPr>
        <w:t>end of the adjudicatory process.</w:t>
      </w:r>
      <w:r w:rsidR="004373CC" w:rsidRPr="004A4D63">
        <w:rPr>
          <w:rStyle w:val="FootnoteReference"/>
          <w:sz w:val="28"/>
          <w:szCs w:val="28"/>
        </w:rPr>
        <w:footnoteReference w:id="188"/>
      </w:r>
      <w:r w:rsidR="004373CC" w:rsidRPr="004A4D63">
        <w:rPr>
          <w:sz w:val="28"/>
          <w:szCs w:val="28"/>
        </w:rPr>
        <w:t xml:space="preserve"> </w:t>
      </w:r>
    </w:p>
    <w:p w14:paraId="51DDDA3A" w14:textId="0817550B" w:rsidR="005A423E" w:rsidRPr="004A4D63" w:rsidRDefault="004373CC" w:rsidP="0065383A">
      <w:pPr>
        <w:spacing w:line="480" w:lineRule="auto"/>
        <w:rPr>
          <w:sz w:val="28"/>
          <w:szCs w:val="28"/>
        </w:rPr>
      </w:pPr>
      <w:r w:rsidRPr="004A4D63">
        <w:rPr>
          <w:sz w:val="28"/>
          <w:szCs w:val="28"/>
        </w:rPr>
        <w:t xml:space="preserve">          As </w:t>
      </w:r>
      <w:r w:rsidR="0030283C" w:rsidRPr="004A4D63">
        <w:rPr>
          <w:sz w:val="28"/>
          <w:szCs w:val="28"/>
        </w:rPr>
        <w:t xml:space="preserve">argued above, participation of </w:t>
      </w:r>
      <w:r w:rsidR="002F1086">
        <w:rPr>
          <w:sz w:val="28"/>
          <w:szCs w:val="28"/>
        </w:rPr>
        <w:t xml:space="preserve">agency heads </w:t>
      </w:r>
      <w:r w:rsidR="0030283C" w:rsidRPr="004A4D63">
        <w:rPr>
          <w:sz w:val="28"/>
          <w:szCs w:val="28"/>
        </w:rPr>
        <w:t xml:space="preserve">in the </w:t>
      </w:r>
      <w:r w:rsidR="002017A6" w:rsidRPr="004A4D63">
        <w:rPr>
          <w:sz w:val="28"/>
          <w:szCs w:val="28"/>
        </w:rPr>
        <w:t>c</w:t>
      </w:r>
      <w:r w:rsidR="0030283C" w:rsidRPr="004A4D63">
        <w:rPr>
          <w:sz w:val="28"/>
          <w:szCs w:val="28"/>
        </w:rPr>
        <w:t xml:space="preserve">harging decision is valuable as a check on prosecutors and </w:t>
      </w:r>
      <w:r w:rsidR="00A9702E" w:rsidRPr="004A4D63">
        <w:rPr>
          <w:sz w:val="28"/>
          <w:szCs w:val="28"/>
        </w:rPr>
        <w:t>a</w:t>
      </w:r>
      <w:r w:rsidR="00E151F7" w:rsidRPr="004A4D63">
        <w:rPr>
          <w:sz w:val="28"/>
          <w:szCs w:val="28"/>
        </w:rPr>
        <w:t>s</w:t>
      </w:r>
      <w:r w:rsidR="00A9702E" w:rsidRPr="004A4D63">
        <w:rPr>
          <w:sz w:val="28"/>
          <w:szCs w:val="28"/>
        </w:rPr>
        <w:t xml:space="preserve"> </w:t>
      </w:r>
      <w:r w:rsidR="00E151F7" w:rsidRPr="004A4D63">
        <w:rPr>
          <w:sz w:val="28"/>
          <w:szCs w:val="28"/>
        </w:rPr>
        <w:t xml:space="preserve">an </w:t>
      </w:r>
      <w:r w:rsidR="00A9702E" w:rsidRPr="004A4D63">
        <w:rPr>
          <w:sz w:val="28"/>
          <w:szCs w:val="28"/>
        </w:rPr>
        <w:t>element of policymaking.</w:t>
      </w:r>
      <w:r w:rsidR="0030283C" w:rsidRPr="004A4D63">
        <w:rPr>
          <w:sz w:val="28"/>
          <w:szCs w:val="28"/>
        </w:rPr>
        <w:t xml:space="preserve"> It would be unfortunate if commissioners opted out of that function. </w:t>
      </w:r>
      <w:r w:rsidR="00151BAC" w:rsidRPr="004A4D63">
        <w:rPr>
          <w:sz w:val="28"/>
          <w:szCs w:val="28"/>
        </w:rPr>
        <w:t>And it would be equally unfortunate if some were disqualified from taking part in the final decision process</w:t>
      </w:r>
      <w:r w:rsidR="00E151F7" w:rsidRPr="004A4D63">
        <w:rPr>
          <w:sz w:val="28"/>
          <w:szCs w:val="28"/>
        </w:rPr>
        <w:t xml:space="preserve">. That process involves collegial </w:t>
      </w:r>
      <w:r w:rsidR="00B47C7F" w:rsidRPr="004A4D63">
        <w:rPr>
          <w:sz w:val="28"/>
          <w:szCs w:val="28"/>
        </w:rPr>
        <w:t xml:space="preserve">effort and compromise </w:t>
      </w:r>
      <w:r w:rsidR="00E151F7" w:rsidRPr="004A4D63">
        <w:rPr>
          <w:sz w:val="28"/>
          <w:szCs w:val="28"/>
        </w:rPr>
        <w:t>of diverse policy perspectives</w:t>
      </w:r>
      <w:r w:rsidR="00CF01F8" w:rsidRPr="004A4D63">
        <w:rPr>
          <w:sz w:val="28"/>
          <w:szCs w:val="28"/>
        </w:rPr>
        <w:t xml:space="preserve"> and often entails establishing agency policy for the future</w:t>
      </w:r>
      <w:r w:rsidR="00E151F7" w:rsidRPr="004A4D63">
        <w:rPr>
          <w:sz w:val="28"/>
          <w:szCs w:val="28"/>
        </w:rPr>
        <w:t>.</w:t>
      </w:r>
      <w:r w:rsidR="00597060" w:rsidRPr="004A4D63">
        <w:rPr>
          <w:rStyle w:val="FootnoteReference"/>
          <w:sz w:val="28"/>
          <w:szCs w:val="28"/>
        </w:rPr>
        <w:footnoteReference w:id="189"/>
      </w:r>
      <w:r w:rsidR="0030283C" w:rsidRPr="004A4D63">
        <w:rPr>
          <w:sz w:val="28"/>
          <w:szCs w:val="28"/>
        </w:rPr>
        <w:t xml:space="preserve"> </w:t>
      </w:r>
      <w:r w:rsidR="000A5DF3" w:rsidRPr="004A4D63">
        <w:rPr>
          <w:sz w:val="28"/>
          <w:szCs w:val="28"/>
        </w:rPr>
        <w:t xml:space="preserve">In my view, these structural concerns are more important than preventing confirmation bias. </w:t>
      </w:r>
    </w:p>
    <w:p w14:paraId="3C60ADD6" w14:textId="7301CF1B" w:rsidR="000B4328" w:rsidRPr="004A4D63" w:rsidRDefault="006C2000" w:rsidP="0065383A">
      <w:pPr>
        <w:spacing w:line="480" w:lineRule="auto"/>
        <w:rPr>
          <w:b/>
          <w:bCs/>
          <w:sz w:val="28"/>
          <w:szCs w:val="28"/>
        </w:rPr>
      </w:pPr>
      <w:r w:rsidRPr="004A4D63">
        <w:rPr>
          <w:b/>
          <w:bCs/>
          <w:sz w:val="28"/>
          <w:szCs w:val="28"/>
        </w:rPr>
        <w:t>F</w:t>
      </w:r>
      <w:r w:rsidR="00324A8A" w:rsidRPr="004A4D63">
        <w:rPr>
          <w:b/>
          <w:bCs/>
          <w:sz w:val="28"/>
          <w:szCs w:val="28"/>
        </w:rPr>
        <w:t>.</w:t>
      </w:r>
      <w:r w:rsidR="005A423E" w:rsidRPr="004A4D63">
        <w:rPr>
          <w:b/>
          <w:bCs/>
          <w:sz w:val="28"/>
          <w:szCs w:val="28"/>
        </w:rPr>
        <w:t xml:space="preserve"> </w:t>
      </w:r>
      <w:r w:rsidR="00324A8A" w:rsidRPr="004A4D63">
        <w:rPr>
          <w:b/>
          <w:bCs/>
          <w:sz w:val="28"/>
          <w:szCs w:val="28"/>
        </w:rPr>
        <w:t xml:space="preserve"> REMOV</w:t>
      </w:r>
      <w:r w:rsidR="00997FFB" w:rsidRPr="004A4D63">
        <w:rPr>
          <w:b/>
          <w:bCs/>
          <w:sz w:val="28"/>
          <w:szCs w:val="28"/>
        </w:rPr>
        <w:t xml:space="preserve">AL OF </w:t>
      </w:r>
      <w:r w:rsidR="00324A8A" w:rsidRPr="004A4D63">
        <w:rPr>
          <w:b/>
          <w:bCs/>
          <w:sz w:val="28"/>
          <w:szCs w:val="28"/>
        </w:rPr>
        <w:t xml:space="preserve">AGENCY HEADS FROM </w:t>
      </w:r>
      <w:r w:rsidR="00997FFB" w:rsidRPr="004A4D63">
        <w:rPr>
          <w:b/>
          <w:bCs/>
          <w:sz w:val="28"/>
          <w:szCs w:val="28"/>
        </w:rPr>
        <w:t xml:space="preserve">GREENLIGHTING: </w:t>
      </w:r>
      <w:r w:rsidR="00324A8A" w:rsidRPr="004A4D63">
        <w:rPr>
          <w:b/>
          <w:bCs/>
          <w:sz w:val="28"/>
          <w:szCs w:val="28"/>
        </w:rPr>
        <w:t xml:space="preserve">THE </w:t>
      </w:r>
      <w:r w:rsidR="005A423E" w:rsidRPr="004A4D63">
        <w:rPr>
          <w:b/>
          <w:bCs/>
          <w:sz w:val="28"/>
          <w:szCs w:val="28"/>
        </w:rPr>
        <w:t xml:space="preserve">NLRB </w:t>
      </w:r>
      <w:r w:rsidR="0091495C" w:rsidRPr="004A4D63">
        <w:rPr>
          <w:b/>
          <w:bCs/>
          <w:sz w:val="28"/>
          <w:szCs w:val="28"/>
        </w:rPr>
        <w:t>MODEL</w:t>
      </w:r>
      <w:r w:rsidR="005A423E" w:rsidRPr="004A4D63">
        <w:rPr>
          <w:b/>
          <w:bCs/>
          <w:sz w:val="28"/>
          <w:szCs w:val="28"/>
        </w:rPr>
        <w:t xml:space="preserve"> </w:t>
      </w:r>
      <w:r w:rsidR="00A9126A" w:rsidRPr="004A4D63">
        <w:rPr>
          <w:b/>
          <w:bCs/>
          <w:sz w:val="28"/>
          <w:szCs w:val="28"/>
        </w:rPr>
        <w:t xml:space="preserve"> </w:t>
      </w:r>
    </w:p>
    <w:p w14:paraId="491BF645" w14:textId="736375D1" w:rsidR="00997FFB" w:rsidRPr="004A4D63" w:rsidRDefault="000B4328" w:rsidP="0065383A">
      <w:pPr>
        <w:spacing w:line="480" w:lineRule="auto"/>
        <w:rPr>
          <w:sz w:val="28"/>
          <w:szCs w:val="28"/>
        </w:rPr>
      </w:pPr>
      <w:r w:rsidRPr="004A4D63">
        <w:rPr>
          <w:sz w:val="28"/>
          <w:szCs w:val="28"/>
        </w:rPr>
        <w:lastRenderedPageBreak/>
        <w:tab/>
      </w:r>
      <w:r w:rsidR="00217376" w:rsidRPr="004A4D63">
        <w:rPr>
          <w:sz w:val="28"/>
          <w:szCs w:val="28"/>
        </w:rPr>
        <w:t>S</w:t>
      </w:r>
      <w:r w:rsidR="007D12D6" w:rsidRPr="004A4D63">
        <w:rPr>
          <w:sz w:val="28"/>
          <w:szCs w:val="28"/>
        </w:rPr>
        <w:t>ince passage of the</w:t>
      </w:r>
      <w:r w:rsidR="000A77E5">
        <w:rPr>
          <w:sz w:val="28"/>
          <w:szCs w:val="28"/>
        </w:rPr>
        <w:t xml:space="preserve"> </w:t>
      </w:r>
      <w:r w:rsidR="007D12D6" w:rsidRPr="004A4D63">
        <w:rPr>
          <w:sz w:val="28"/>
          <w:szCs w:val="28"/>
        </w:rPr>
        <w:t xml:space="preserve">Taft-Hartley </w:t>
      </w:r>
      <w:r w:rsidR="00A9126A" w:rsidRPr="004A4D63">
        <w:rPr>
          <w:sz w:val="28"/>
          <w:szCs w:val="28"/>
        </w:rPr>
        <w:t>Act</w:t>
      </w:r>
      <w:r w:rsidR="007D12D6" w:rsidRPr="004A4D63">
        <w:rPr>
          <w:sz w:val="28"/>
          <w:szCs w:val="28"/>
        </w:rPr>
        <w:t xml:space="preserve"> in 1947, </w:t>
      </w:r>
      <w:r w:rsidR="00597060" w:rsidRPr="004A4D63">
        <w:rPr>
          <w:sz w:val="28"/>
          <w:szCs w:val="28"/>
        </w:rPr>
        <w:t>N</w:t>
      </w:r>
      <w:r w:rsidR="00A118E2" w:rsidRPr="004A4D63">
        <w:rPr>
          <w:sz w:val="28"/>
          <w:szCs w:val="28"/>
        </w:rPr>
        <w:t>L</w:t>
      </w:r>
      <w:r w:rsidR="00597060" w:rsidRPr="004A4D63">
        <w:rPr>
          <w:sz w:val="28"/>
          <w:szCs w:val="28"/>
        </w:rPr>
        <w:t xml:space="preserve">RB </w:t>
      </w:r>
      <w:r w:rsidR="00B511A4" w:rsidRPr="004A4D63">
        <w:rPr>
          <w:sz w:val="28"/>
          <w:szCs w:val="28"/>
        </w:rPr>
        <w:t xml:space="preserve">members </w:t>
      </w:r>
      <w:r w:rsidR="007D12D6" w:rsidRPr="004A4D63">
        <w:rPr>
          <w:sz w:val="28"/>
          <w:szCs w:val="28"/>
        </w:rPr>
        <w:t xml:space="preserve">lack </w:t>
      </w:r>
      <w:r w:rsidR="00C514D0">
        <w:rPr>
          <w:sz w:val="28"/>
          <w:szCs w:val="28"/>
        </w:rPr>
        <w:t xml:space="preserve">the </w:t>
      </w:r>
      <w:r w:rsidR="00597060" w:rsidRPr="004A4D63">
        <w:rPr>
          <w:sz w:val="28"/>
          <w:szCs w:val="28"/>
        </w:rPr>
        <w:t>power to make charging decisions in unfair labor practice (ULP) cases.</w:t>
      </w:r>
      <w:r w:rsidR="00217376" w:rsidRPr="004A4D63">
        <w:rPr>
          <w:rStyle w:val="FootnoteReference"/>
          <w:sz w:val="28"/>
          <w:szCs w:val="28"/>
        </w:rPr>
        <w:footnoteReference w:id="190"/>
      </w:r>
      <w:r w:rsidR="00037DBA" w:rsidRPr="004A4D63">
        <w:rPr>
          <w:sz w:val="28"/>
          <w:szCs w:val="28"/>
        </w:rPr>
        <w:t xml:space="preserve"> Instead, t</w:t>
      </w:r>
      <w:r w:rsidR="00597060" w:rsidRPr="004A4D63">
        <w:rPr>
          <w:sz w:val="28"/>
          <w:szCs w:val="28"/>
        </w:rPr>
        <w:t xml:space="preserve">he </w:t>
      </w:r>
      <w:r w:rsidR="00CF0892" w:rsidRPr="004A4D63">
        <w:rPr>
          <w:sz w:val="28"/>
          <w:szCs w:val="28"/>
        </w:rPr>
        <w:t xml:space="preserve">GC </w:t>
      </w:r>
      <w:r w:rsidR="00597060" w:rsidRPr="004A4D63">
        <w:rPr>
          <w:sz w:val="28"/>
          <w:szCs w:val="28"/>
        </w:rPr>
        <w:t>makes the charging decisions</w:t>
      </w:r>
      <w:r w:rsidR="00FD6AA1" w:rsidRPr="004A4D63">
        <w:rPr>
          <w:sz w:val="28"/>
          <w:szCs w:val="28"/>
        </w:rPr>
        <w:t xml:space="preserve"> and is politically accountable for th</w:t>
      </w:r>
      <w:r w:rsidR="00CF0892" w:rsidRPr="004A4D63">
        <w:rPr>
          <w:sz w:val="28"/>
          <w:szCs w:val="28"/>
        </w:rPr>
        <w:t xml:space="preserve">em. </w:t>
      </w:r>
      <w:r w:rsidR="00997FFB" w:rsidRPr="004A4D63">
        <w:rPr>
          <w:sz w:val="28"/>
          <w:szCs w:val="28"/>
        </w:rPr>
        <w:t>Much has been written about the separation of prosecution and adjudication functions in the NLRB.</w:t>
      </w:r>
      <w:r w:rsidR="00997FFB" w:rsidRPr="004A4D63">
        <w:rPr>
          <w:rStyle w:val="FootnoteReference"/>
          <w:sz w:val="28"/>
          <w:szCs w:val="28"/>
        </w:rPr>
        <w:footnoteReference w:id="191"/>
      </w:r>
      <w:r w:rsidR="00217376" w:rsidRPr="004A4D63">
        <w:rPr>
          <w:sz w:val="28"/>
          <w:szCs w:val="28"/>
        </w:rPr>
        <w:t xml:space="preserve"> </w:t>
      </w:r>
      <w:r w:rsidR="00C514D0">
        <w:rPr>
          <w:sz w:val="28"/>
          <w:szCs w:val="28"/>
        </w:rPr>
        <w:t xml:space="preserve">Several articles </w:t>
      </w:r>
      <w:r w:rsidR="00EF3A97">
        <w:rPr>
          <w:sz w:val="28"/>
          <w:szCs w:val="28"/>
        </w:rPr>
        <w:t xml:space="preserve">. </w:t>
      </w:r>
      <w:r w:rsidR="00997FFB" w:rsidRPr="004A4D63">
        <w:rPr>
          <w:sz w:val="28"/>
          <w:szCs w:val="28"/>
        </w:rPr>
        <w:t xml:space="preserve">have recommended that </w:t>
      </w:r>
      <w:r w:rsidR="00217376" w:rsidRPr="004A4D63">
        <w:rPr>
          <w:sz w:val="28"/>
          <w:szCs w:val="28"/>
        </w:rPr>
        <w:t xml:space="preserve">other combined function enforcement agencies </w:t>
      </w:r>
      <w:r w:rsidR="00997FFB" w:rsidRPr="004A4D63">
        <w:rPr>
          <w:sz w:val="28"/>
          <w:szCs w:val="28"/>
        </w:rPr>
        <w:t>follow the NLRB model.</w:t>
      </w:r>
      <w:r w:rsidR="00997FFB" w:rsidRPr="004A4D63">
        <w:rPr>
          <w:rStyle w:val="FootnoteReference"/>
          <w:sz w:val="28"/>
          <w:szCs w:val="28"/>
        </w:rPr>
        <w:footnoteReference w:id="192"/>
      </w:r>
      <w:r w:rsidR="00997FFB" w:rsidRPr="004A4D63">
        <w:rPr>
          <w:sz w:val="28"/>
          <w:szCs w:val="28"/>
        </w:rPr>
        <w:t xml:space="preserve"> </w:t>
      </w:r>
    </w:p>
    <w:p w14:paraId="0E1AFE99" w14:textId="3A7B317C" w:rsidR="001B1DFA" w:rsidRPr="004A4D63" w:rsidRDefault="00997FFB" w:rsidP="0065383A">
      <w:pPr>
        <w:spacing w:line="480" w:lineRule="auto"/>
        <w:rPr>
          <w:sz w:val="28"/>
          <w:szCs w:val="28"/>
        </w:rPr>
      </w:pPr>
      <w:r w:rsidRPr="004A4D63">
        <w:rPr>
          <w:sz w:val="28"/>
          <w:szCs w:val="28"/>
        </w:rPr>
        <w:tab/>
        <w:t xml:space="preserve">Although NLRB </w:t>
      </w:r>
      <w:r w:rsidR="00B511A4" w:rsidRPr="004A4D63">
        <w:rPr>
          <w:sz w:val="28"/>
          <w:szCs w:val="28"/>
        </w:rPr>
        <w:t xml:space="preserve">members </w:t>
      </w:r>
      <w:r w:rsidRPr="004A4D63">
        <w:rPr>
          <w:sz w:val="28"/>
          <w:szCs w:val="28"/>
        </w:rPr>
        <w:t xml:space="preserve">play no prosecutorial role in most ULP cases, the separation of prosecution and adjudication is not complete. The </w:t>
      </w:r>
      <w:r w:rsidR="00B511A4" w:rsidRPr="004A4D63">
        <w:rPr>
          <w:sz w:val="28"/>
          <w:szCs w:val="28"/>
        </w:rPr>
        <w:t>m</w:t>
      </w:r>
      <w:r w:rsidRPr="004A4D63">
        <w:rPr>
          <w:sz w:val="28"/>
          <w:szCs w:val="28"/>
        </w:rPr>
        <w:t xml:space="preserve">embers </w:t>
      </w:r>
      <w:r w:rsidR="00461A4A" w:rsidRPr="004A4D63">
        <w:rPr>
          <w:sz w:val="28"/>
          <w:szCs w:val="28"/>
        </w:rPr>
        <w:t>decide</w:t>
      </w:r>
      <w:r w:rsidRPr="004A4D63">
        <w:rPr>
          <w:sz w:val="28"/>
          <w:szCs w:val="28"/>
        </w:rPr>
        <w:t xml:space="preserve"> </w:t>
      </w:r>
      <w:r w:rsidR="00041129" w:rsidRPr="004A4D63">
        <w:rPr>
          <w:sz w:val="28"/>
          <w:szCs w:val="28"/>
        </w:rPr>
        <w:t xml:space="preserve">whether to </w:t>
      </w:r>
      <w:r w:rsidR="00E81014" w:rsidRPr="004A4D63">
        <w:rPr>
          <w:sz w:val="28"/>
          <w:szCs w:val="28"/>
        </w:rPr>
        <w:t xml:space="preserve">approve the GC’s recommendation that the Board </w:t>
      </w:r>
      <w:r w:rsidR="00041129" w:rsidRPr="004A4D63">
        <w:rPr>
          <w:sz w:val="28"/>
          <w:szCs w:val="28"/>
        </w:rPr>
        <w:t>seek a temporary injunction in ULP cases (so-called 10(j) cases</w:t>
      </w:r>
      <w:r w:rsidR="00E81014" w:rsidRPr="004A4D63">
        <w:rPr>
          <w:sz w:val="28"/>
          <w:szCs w:val="28"/>
        </w:rPr>
        <w:t>)</w:t>
      </w:r>
      <w:r w:rsidR="00041129" w:rsidRPr="004A4D63">
        <w:rPr>
          <w:sz w:val="28"/>
          <w:szCs w:val="28"/>
        </w:rPr>
        <w:t>.</w:t>
      </w:r>
      <w:r w:rsidR="00041129" w:rsidRPr="004A4D63">
        <w:rPr>
          <w:rStyle w:val="FootnoteReference"/>
          <w:sz w:val="28"/>
          <w:szCs w:val="28"/>
        </w:rPr>
        <w:footnoteReference w:id="193"/>
      </w:r>
      <w:r w:rsidR="00041129" w:rsidRPr="004A4D63">
        <w:rPr>
          <w:sz w:val="28"/>
          <w:szCs w:val="28"/>
        </w:rPr>
        <w:t xml:space="preserve"> </w:t>
      </w:r>
      <w:r w:rsidR="00FC72C2" w:rsidRPr="004A4D63">
        <w:rPr>
          <w:sz w:val="28"/>
          <w:szCs w:val="28"/>
        </w:rPr>
        <w:t>T</w:t>
      </w:r>
      <w:r w:rsidR="00E81014" w:rsidRPr="004A4D63">
        <w:rPr>
          <w:sz w:val="28"/>
          <w:szCs w:val="28"/>
        </w:rPr>
        <w:t>hus</w:t>
      </w:r>
      <w:r w:rsidR="00C16B75" w:rsidRPr="004A4D63">
        <w:rPr>
          <w:sz w:val="28"/>
          <w:szCs w:val="28"/>
        </w:rPr>
        <w:t xml:space="preserve">, under the NLRB model, the agency heads </w:t>
      </w:r>
      <w:r w:rsidR="00461A4A" w:rsidRPr="004A4D63">
        <w:rPr>
          <w:sz w:val="28"/>
          <w:szCs w:val="28"/>
        </w:rPr>
        <w:t xml:space="preserve">greenlight </w:t>
      </w:r>
      <w:r w:rsidR="00E81014" w:rsidRPr="004A4D63">
        <w:rPr>
          <w:sz w:val="28"/>
          <w:szCs w:val="28"/>
        </w:rPr>
        <w:t>the particularly sensitive temporary injunction cases</w:t>
      </w:r>
      <w:r w:rsidR="008C7F9A" w:rsidRPr="004A4D63">
        <w:rPr>
          <w:sz w:val="28"/>
          <w:szCs w:val="28"/>
        </w:rPr>
        <w:t>,</w:t>
      </w:r>
      <w:r w:rsidR="00E81014" w:rsidRPr="004A4D63">
        <w:rPr>
          <w:sz w:val="28"/>
          <w:szCs w:val="28"/>
        </w:rPr>
        <w:t xml:space="preserve"> but not </w:t>
      </w:r>
      <w:r w:rsidRPr="004A4D63">
        <w:rPr>
          <w:sz w:val="28"/>
          <w:szCs w:val="28"/>
        </w:rPr>
        <w:t xml:space="preserve">the </w:t>
      </w:r>
      <w:r w:rsidR="00E81014" w:rsidRPr="004A4D63">
        <w:rPr>
          <w:sz w:val="28"/>
          <w:szCs w:val="28"/>
        </w:rPr>
        <w:t xml:space="preserve">more routine </w:t>
      </w:r>
      <w:r w:rsidR="00C16B75" w:rsidRPr="004A4D63">
        <w:rPr>
          <w:sz w:val="28"/>
          <w:szCs w:val="28"/>
        </w:rPr>
        <w:t xml:space="preserve">and far more numerous </w:t>
      </w:r>
      <w:r w:rsidR="00E81014" w:rsidRPr="004A4D63">
        <w:rPr>
          <w:sz w:val="28"/>
          <w:szCs w:val="28"/>
        </w:rPr>
        <w:t>ULP complaints</w:t>
      </w:r>
      <w:r w:rsidR="00461A4A" w:rsidRPr="004A4D63">
        <w:rPr>
          <w:sz w:val="28"/>
          <w:szCs w:val="28"/>
        </w:rPr>
        <w:t xml:space="preserve"> in which </w:t>
      </w:r>
      <w:r w:rsidR="00C16B75" w:rsidRPr="004A4D63">
        <w:rPr>
          <w:sz w:val="28"/>
          <w:szCs w:val="28"/>
        </w:rPr>
        <w:t xml:space="preserve">no injunction is sought. </w:t>
      </w:r>
      <w:r w:rsidR="00384A19" w:rsidRPr="004A4D63">
        <w:rPr>
          <w:sz w:val="28"/>
          <w:szCs w:val="28"/>
        </w:rPr>
        <w:t xml:space="preserve"> </w:t>
      </w:r>
    </w:p>
    <w:p w14:paraId="5482BEA7" w14:textId="1C51406F" w:rsidR="00D45F00" w:rsidRPr="004A4D63" w:rsidRDefault="005A423E" w:rsidP="0065383A">
      <w:pPr>
        <w:spacing w:line="480" w:lineRule="auto"/>
        <w:rPr>
          <w:sz w:val="28"/>
          <w:szCs w:val="28"/>
        </w:rPr>
      </w:pPr>
      <w:r w:rsidRPr="004A4D63">
        <w:rPr>
          <w:sz w:val="28"/>
          <w:szCs w:val="28"/>
        </w:rPr>
        <w:tab/>
        <w:t xml:space="preserve"> </w:t>
      </w:r>
      <w:r w:rsidR="00041129" w:rsidRPr="004A4D63">
        <w:rPr>
          <w:sz w:val="28"/>
          <w:szCs w:val="28"/>
        </w:rPr>
        <w:t xml:space="preserve">NLRB regional offices </w:t>
      </w:r>
      <w:r w:rsidR="003D7D3A" w:rsidRPr="004A4D63">
        <w:rPr>
          <w:sz w:val="28"/>
          <w:szCs w:val="28"/>
        </w:rPr>
        <w:t xml:space="preserve">file </w:t>
      </w:r>
      <w:r w:rsidR="00041129" w:rsidRPr="004A4D63">
        <w:rPr>
          <w:sz w:val="28"/>
          <w:szCs w:val="28"/>
        </w:rPr>
        <w:t xml:space="preserve">between </w:t>
      </w:r>
      <w:r w:rsidR="00996BC5" w:rsidRPr="004A4D63">
        <w:rPr>
          <w:sz w:val="28"/>
          <w:szCs w:val="28"/>
        </w:rPr>
        <w:t>8</w:t>
      </w:r>
      <w:r w:rsidR="007D12D6" w:rsidRPr="004A4D63">
        <w:rPr>
          <w:sz w:val="28"/>
          <w:szCs w:val="28"/>
        </w:rPr>
        <w:t xml:space="preserve">00 </w:t>
      </w:r>
      <w:r w:rsidR="00041129" w:rsidRPr="004A4D63">
        <w:rPr>
          <w:sz w:val="28"/>
          <w:szCs w:val="28"/>
        </w:rPr>
        <w:t xml:space="preserve">and 1200 ULP </w:t>
      </w:r>
      <w:r w:rsidR="007D12D6" w:rsidRPr="004A4D63">
        <w:rPr>
          <w:sz w:val="28"/>
          <w:szCs w:val="28"/>
        </w:rPr>
        <w:t xml:space="preserve">complaints each year. This heavy caseload would make it practically impossible for the NLRB </w:t>
      </w:r>
      <w:r w:rsidR="007D12D6" w:rsidRPr="004A4D63">
        <w:rPr>
          <w:sz w:val="28"/>
          <w:szCs w:val="28"/>
        </w:rPr>
        <w:lastRenderedPageBreak/>
        <w:t>agency heads to be involved in charging decisions in any meaningful way.</w:t>
      </w:r>
      <w:r w:rsidR="007577BA" w:rsidRPr="004A4D63">
        <w:rPr>
          <w:rStyle w:val="FootnoteReference"/>
          <w:sz w:val="28"/>
          <w:szCs w:val="28"/>
        </w:rPr>
        <w:footnoteReference w:id="194"/>
      </w:r>
      <w:r w:rsidR="00A9126A" w:rsidRPr="004A4D63">
        <w:rPr>
          <w:sz w:val="28"/>
          <w:szCs w:val="28"/>
        </w:rPr>
        <w:t xml:space="preserve"> </w:t>
      </w:r>
      <w:r w:rsidR="00041129" w:rsidRPr="004A4D63">
        <w:rPr>
          <w:sz w:val="28"/>
          <w:szCs w:val="28"/>
        </w:rPr>
        <w:t xml:space="preserve">The agency heads see </w:t>
      </w:r>
      <w:r w:rsidR="00D45F00" w:rsidRPr="004A4D63">
        <w:rPr>
          <w:sz w:val="28"/>
          <w:szCs w:val="28"/>
        </w:rPr>
        <w:t xml:space="preserve">between </w:t>
      </w:r>
      <w:r w:rsidR="0005190C" w:rsidRPr="004A4D63">
        <w:rPr>
          <w:sz w:val="28"/>
          <w:szCs w:val="28"/>
        </w:rPr>
        <w:t xml:space="preserve">ten and one hundred </w:t>
      </w:r>
      <w:r w:rsidR="00041129" w:rsidRPr="004A4D63">
        <w:rPr>
          <w:sz w:val="28"/>
          <w:szCs w:val="28"/>
        </w:rPr>
        <w:t xml:space="preserve">10(j) cases each year which is </w:t>
      </w:r>
      <w:r w:rsidR="00D45F00" w:rsidRPr="004A4D63">
        <w:rPr>
          <w:sz w:val="28"/>
          <w:szCs w:val="28"/>
        </w:rPr>
        <w:t xml:space="preserve">a </w:t>
      </w:r>
      <w:r w:rsidR="00041129" w:rsidRPr="004A4D63">
        <w:rPr>
          <w:sz w:val="28"/>
          <w:szCs w:val="28"/>
        </w:rPr>
        <w:t>more manageable</w:t>
      </w:r>
      <w:r w:rsidR="00D45F00" w:rsidRPr="004A4D63">
        <w:rPr>
          <w:sz w:val="28"/>
          <w:szCs w:val="28"/>
        </w:rPr>
        <w:t xml:space="preserve"> task.  </w:t>
      </w:r>
      <w:r w:rsidR="0005190C" w:rsidRPr="004A4D63">
        <w:rPr>
          <w:sz w:val="28"/>
          <w:szCs w:val="28"/>
        </w:rPr>
        <w:t xml:space="preserve">Limiting the Board’s greenlighting function to 10(j) cases </w:t>
      </w:r>
      <w:r w:rsidR="00217376" w:rsidRPr="004A4D63">
        <w:rPr>
          <w:sz w:val="28"/>
          <w:szCs w:val="28"/>
        </w:rPr>
        <w:t xml:space="preserve">makes sense, because </w:t>
      </w:r>
      <w:r w:rsidR="00D45F00" w:rsidRPr="004A4D63">
        <w:rPr>
          <w:sz w:val="28"/>
          <w:szCs w:val="28"/>
        </w:rPr>
        <w:t>10(j) cases are more significant than routine ULP case</w:t>
      </w:r>
      <w:r w:rsidR="00CF0892" w:rsidRPr="004A4D63">
        <w:rPr>
          <w:sz w:val="28"/>
          <w:szCs w:val="28"/>
        </w:rPr>
        <w:t>s</w:t>
      </w:r>
      <w:r w:rsidR="00217376" w:rsidRPr="004A4D63">
        <w:rPr>
          <w:sz w:val="28"/>
          <w:szCs w:val="28"/>
        </w:rPr>
        <w:t xml:space="preserve">. The Board seeks an injunction when </w:t>
      </w:r>
      <w:r w:rsidR="00D45F00" w:rsidRPr="004A4D63">
        <w:rPr>
          <w:sz w:val="28"/>
          <w:szCs w:val="28"/>
        </w:rPr>
        <w:t xml:space="preserve">the  conduct being enjoined </w:t>
      </w:r>
      <w:r w:rsidR="005201AD" w:rsidRPr="004A4D63">
        <w:rPr>
          <w:sz w:val="28"/>
          <w:szCs w:val="28"/>
        </w:rPr>
        <w:t xml:space="preserve">may </w:t>
      </w:r>
      <w:r w:rsidR="00D45F00" w:rsidRPr="004A4D63">
        <w:rPr>
          <w:sz w:val="28"/>
          <w:szCs w:val="28"/>
        </w:rPr>
        <w:t xml:space="preserve">inflict </w:t>
      </w:r>
      <w:r w:rsidR="00CF0892" w:rsidRPr="004A4D63">
        <w:rPr>
          <w:sz w:val="28"/>
          <w:szCs w:val="28"/>
        </w:rPr>
        <w:t xml:space="preserve">serious </w:t>
      </w:r>
      <w:r w:rsidR="00D45F00" w:rsidRPr="004A4D63">
        <w:rPr>
          <w:sz w:val="28"/>
          <w:szCs w:val="28"/>
        </w:rPr>
        <w:t xml:space="preserve">injury that could not be remedied by a later adjudicatory decision. </w:t>
      </w:r>
      <w:r w:rsidR="00217376" w:rsidRPr="004A4D63">
        <w:rPr>
          <w:sz w:val="28"/>
          <w:szCs w:val="28"/>
        </w:rPr>
        <w:t>For example, the Board might seek a temporary injunction against employer violations that interrupt a union organizing campaign</w:t>
      </w:r>
      <w:r w:rsidR="00EF3A97">
        <w:rPr>
          <w:sz w:val="28"/>
          <w:szCs w:val="28"/>
        </w:rPr>
        <w:t>.  A</w:t>
      </w:r>
      <w:r w:rsidR="00217376" w:rsidRPr="004A4D63">
        <w:rPr>
          <w:sz w:val="28"/>
          <w:szCs w:val="28"/>
        </w:rPr>
        <w:t xml:space="preserve">n injunction is appropriate </w:t>
      </w:r>
      <w:r w:rsidR="00EF3A97">
        <w:rPr>
          <w:sz w:val="28"/>
          <w:szCs w:val="28"/>
        </w:rPr>
        <w:t xml:space="preserve">in such cases </w:t>
      </w:r>
      <w:r w:rsidR="00217376" w:rsidRPr="004A4D63">
        <w:rPr>
          <w:sz w:val="28"/>
          <w:szCs w:val="28"/>
        </w:rPr>
        <w:t xml:space="preserve">because </w:t>
      </w:r>
      <w:r w:rsidR="00EF3A97">
        <w:rPr>
          <w:sz w:val="28"/>
          <w:szCs w:val="28"/>
        </w:rPr>
        <w:t xml:space="preserve">otherwise the </w:t>
      </w:r>
      <w:r w:rsidR="00217376" w:rsidRPr="004A4D63">
        <w:rPr>
          <w:sz w:val="28"/>
          <w:szCs w:val="28"/>
        </w:rPr>
        <w:t>adjudicatory decision would occur long after the momentum behind the organizing campaign dissipated.</w:t>
      </w:r>
      <w:r w:rsidR="00217376" w:rsidRPr="004A4D63">
        <w:rPr>
          <w:rStyle w:val="FootnoteReference"/>
          <w:sz w:val="28"/>
          <w:szCs w:val="28"/>
        </w:rPr>
        <w:footnoteReference w:id="195"/>
      </w:r>
      <w:r w:rsidR="00217376" w:rsidRPr="004A4D63">
        <w:rPr>
          <w:sz w:val="28"/>
          <w:szCs w:val="28"/>
        </w:rPr>
        <w:t xml:space="preserve"> </w:t>
      </w:r>
    </w:p>
    <w:p w14:paraId="74196D4C" w14:textId="327E2114" w:rsidR="00A9126A" w:rsidRPr="004A4D63" w:rsidRDefault="00D45F00" w:rsidP="0065383A">
      <w:pPr>
        <w:spacing w:line="480" w:lineRule="auto"/>
        <w:rPr>
          <w:sz w:val="28"/>
          <w:szCs w:val="28"/>
        </w:rPr>
      </w:pPr>
      <w:r w:rsidRPr="004A4D63">
        <w:rPr>
          <w:sz w:val="28"/>
          <w:szCs w:val="28"/>
        </w:rPr>
        <w:tab/>
      </w:r>
      <w:r w:rsidR="00A9126A" w:rsidRPr="004A4D63">
        <w:rPr>
          <w:sz w:val="28"/>
          <w:szCs w:val="28"/>
        </w:rPr>
        <w:t xml:space="preserve">Confirmation bias </w:t>
      </w:r>
      <w:r w:rsidR="00217376" w:rsidRPr="004A4D63">
        <w:rPr>
          <w:sz w:val="28"/>
          <w:szCs w:val="28"/>
        </w:rPr>
        <w:t xml:space="preserve">remains </w:t>
      </w:r>
      <w:r w:rsidR="00A9126A" w:rsidRPr="004A4D63">
        <w:rPr>
          <w:sz w:val="28"/>
          <w:szCs w:val="28"/>
        </w:rPr>
        <w:t xml:space="preserve">a potential issue in </w:t>
      </w:r>
      <w:r w:rsidRPr="004A4D63">
        <w:rPr>
          <w:sz w:val="28"/>
          <w:szCs w:val="28"/>
        </w:rPr>
        <w:t>10(</w:t>
      </w:r>
      <w:r w:rsidR="00D25F96" w:rsidRPr="004A4D63">
        <w:rPr>
          <w:sz w:val="28"/>
          <w:szCs w:val="28"/>
        </w:rPr>
        <w:t>j)</w:t>
      </w:r>
      <w:r w:rsidRPr="004A4D63">
        <w:rPr>
          <w:sz w:val="28"/>
          <w:szCs w:val="28"/>
        </w:rPr>
        <w:t xml:space="preserve"> </w:t>
      </w:r>
      <w:r w:rsidR="00DD3A27" w:rsidRPr="004A4D63">
        <w:rPr>
          <w:sz w:val="28"/>
          <w:szCs w:val="28"/>
        </w:rPr>
        <w:t>cases</w:t>
      </w:r>
      <w:r w:rsidRPr="004A4D63">
        <w:rPr>
          <w:sz w:val="28"/>
          <w:szCs w:val="28"/>
        </w:rPr>
        <w:t xml:space="preserve"> since Board members exercise both prosecution and adjudicatory functions in those cases. </w:t>
      </w:r>
      <w:r w:rsidR="00BD52A3" w:rsidRPr="004A4D63">
        <w:rPr>
          <w:sz w:val="28"/>
          <w:szCs w:val="28"/>
        </w:rPr>
        <w:t>M</w:t>
      </w:r>
      <w:r w:rsidR="00DD3A27" w:rsidRPr="004A4D63">
        <w:rPr>
          <w:sz w:val="28"/>
          <w:szCs w:val="28"/>
        </w:rPr>
        <w:t>y interview subjects doubted that the problem was serious</w:t>
      </w:r>
      <w:r w:rsidR="00727170" w:rsidRPr="004A4D63">
        <w:rPr>
          <w:sz w:val="28"/>
          <w:szCs w:val="28"/>
        </w:rPr>
        <w:t xml:space="preserve">, because the </w:t>
      </w:r>
      <w:r w:rsidR="00384A19" w:rsidRPr="004A4D63">
        <w:rPr>
          <w:sz w:val="28"/>
          <w:szCs w:val="28"/>
        </w:rPr>
        <w:t xml:space="preserve">GC’s </w:t>
      </w:r>
      <w:r w:rsidR="00727170" w:rsidRPr="004A4D63">
        <w:rPr>
          <w:sz w:val="28"/>
          <w:szCs w:val="28"/>
        </w:rPr>
        <w:t xml:space="preserve">written request for Board approval of the injunction </w:t>
      </w:r>
      <w:r w:rsidR="00384A19" w:rsidRPr="004A4D63">
        <w:rPr>
          <w:sz w:val="28"/>
          <w:szCs w:val="28"/>
        </w:rPr>
        <w:t xml:space="preserve">accepts the credibility of the complainant and </w:t>
      </w:r>
      <w:r w:rsidR="00727170" w:rsidRPr="004A4D63">
        <w:rPr>
          <w:sz w:val="28"/>
          <w:szCs w:val="28"/>
        </w:rPr>
        <w:t xml:space="preserve">does not include much of the factual and evidentiary material that the prosecutors have assembled. </w:t>
      </w:r>
      <w:r w:rsidR="00384A19" w:rsidRPr="004A4D63">
        <w:rPr>
          <w:sz w:val="28"/>
          <w:szCs w:val="28"/>
        </w:rPr>
        <w:t>W</w:t>
      </w:r>
      <w:r w:rsidR="00727170" w:rsidRPr="004A4D63">
        <w:rPr>
          <w:sz w:val="28"/>
          <w:szCs w:val="28"/>
        </w:rPr>
        <w:t xml:space="preserve">hen </w:t>
      </w:r>
      <w:r w:rsidR="00C16B75" w:rsidRPr="004A4D63">
        <w:rPr>
          <w:sz w:val="28"/>
          <w:szCs w:val="28"/>
        </w:rPr>
        <w:t xml:space="preserve">a </w:t>
      </w:r>
      <w:r w:rsidR="00384A19" w:rsidRPr="004A4D63">
        <w:rPr>
          <w:sz w:val="28"/>
          <w:szCs w:val="28"/>
        </w:rPr>
        <w:t xml:space="preserve">10(j) </w:t>
      </w:r>
      <w:r w:rsidR="00C16B75" w:rsidRPr="004A4D63">
        <w:rPr>
          <w:sz w:val="28"/>
          <w:szCs w:val="28"/>
        </w:rPr>
        <w:t xml:space="preserve">case </w:t>
      </w:r>
      <w:r w:rsidR="00727170" w:rsidRPr="004A4D63">
        <w:rPr>
          <w:sz w:val="28"/>
          <w:szCs w:val="28"/>
        </w:rPr>
        <w:t xml:space="preserve">comes to the Board after an </w:t>
      </w:r>
      <w:r w:rsidR="00727170" w:rsidRPr="004A4D63">
        <w:rPr>
          <w:sz w:val="28"/>
          <w:szCs w:val="28"/>
        </w:rPr>
        <w:lastRenderedPageBreak/>
        <w:t>ALJ decision</w:t>
      </w:r>
      <w:r w:rsidR="00C16B75" w:rsidRPr="004A4D63">
        <w:rPr>
          <w:sz w:val="28"/>
          <w:szCs w:val="28"/>
        </w:rPr>
        <w:t xml:space="preserve">, </w:t>
      </w:r>
      <w:r w:rsidR="00EF3A97">
        <w:rPr>
          <w:sz w:val="28"/>
          <w:szCs w:val="28"/>
        </w:rPr>
        <w:t xml:space="preserve">the record </w:t>
      </w:r>
      <w:r w:rsidR="00727170" w:rsidRPr="004A4D63">
        <w:rPr>
          <w:sz w:val="28"/>
          <w:szCs w:val="28"/>
        </w:rPr>
        <w:t>looks completely different than it did at the complaint stage</w:t>
      </w:r>
      <w:r w:rsidR="0005190C" w:rsidRPr="004A4D63">
        <w:rPr>
          <w:sz w:val="28"/>
          <w:szCs w:val="28"/>
        </w:rPr>
        <w:t>,</w:t>
      </w:r>
      <w:r w:rsidR="00727170" w:rsidRPr="004A4D63">
        <w:rPr>
          <w:sz w:val="28"/>
          <w:szCs w:val="28"/>
        </w:rPr>
        <w:t xml:space="preserve"> because </w:t>
      </w:r>
      <w:r w:rsidR="00EF3A97">
        <w:rPr>
          <w:sz w:val="28"/>
          <w:szCs w:val="28"/>
        </w:rPr>
        <w:t>it contains the respondent’s evidence and t</w:t>
      </w:r>
      <w:r w:rsidR="00727170" w:rsidRPr="004A4D63">
        <w:rPr>
          <w:sz w:val="28"/>
          <w:szCs w:val="28"/>
        </w:rPr>
        <w:t>he ALJ’s credibility determinations</w:t>
      </w:r>
      <w:r w:rsidR="00EF3A97">
        <w:rPr>
          <w:sz w:val="28"/>
          <w:szCs w:val="28"/>
        </w:rPr>
        <w:t>.</w:t>
      </w:r>
      <w:r w:rsidR="00DD3A27" w:rsidRPr="004A4D63">
        <w:rPr>
          <w:rStyle w:val="FootnoteReference"/>
          <w:sz w:val="28"/>
          <w:szCs w:val="28"/>
        </w:rPr>
        <w:footnoteReference w:id="196"/>
      </w:r>
    </w:p>
    <w:p w14:paraId="3DCA161B" w14:textId="173C2F41" w:rsidR="00360F61" w:rsidRPr="004A4D63" w:rsidRDefault="00041129" w:rsidP="0065383A">
      <w:pPr>
        <w:spacing w:line="480" w:lineRule="auto"/>
        <w:rPr>
          <w:sz w:val="28"/>
          <w:szCs w:val="28"/>
        </w:rPr>
      </w:pPr>
      <w:r w:rsidRPr="004A4D63">
        <w:rPr>
          <w:sz w:val="28"/>
          <w:szCs w:val="28"/>
        </w:rPr>
        <w:t xml:space="preserve">          </w:t>
      </w:r>
      <w:r w:rsidR="003D7D3A" w:rsidRPr="004A4D63">
        <w:rPr>
          <w:sz w:val="28"/>
          <w:szCs w:val="28"/>
        </w:rPr>
        <w:t>T</w:t>
      </w:r>
      <w:r w:rsidR="007D12D6" w:rsidRPr="004A4D63">
        <w:rPr>
          <w:sz w:val="28"/>
          <w:szCs w:val="28"/>
        </w:rPr>
        <w:t xml:space="preserve">he separation of prosecution and adjudication </w:t>
      </w:r>
      <w:r w:rsidR="005351C4" w:rsidRPr="004A4D63">
        <w:rPr>
          <w:sz w:val="28"/>
          <w:szCs w:val="28"/>
        </w:rPr>
        <w:t xml:space="preserve">at the NLRB </w:t>
      </w:r>
      <w:r w:rsidR="00EF3A97">
        <w:rPr>
          <w:sz w:val="28"/>
          <w:szCs w:val="28"/>
        </w:rPr>
        <w:t xml:space="preserve">in ULP cases </w:t>
      </w:r>
      <w:r w:rsidR="003D7D3A" w:rsidRPr="004A4D63">
        <w:rPr>
          <w:sz w:val="28"/>
          <w:szCs w:val="28"/>
        </w:rPr>
        <w:t>can create principal-agency problems when the views of the GC and the Board members misalign.</w:t>
      </w:r>
      <w:r w:rsidR="00266F0E" w:rsidRPr="004A4D63">
        <w:rPr>
          <w:sz w:val="28"/>
          <w:szCs w:val="28"/>
        </w:rPr>
        <w:t xml:space="preserve"> </w:t>
      </w:r>
      <w:r w:rsidR="00D25F96" w:rsidRPr="004A4D63">
        <w:rPr>
          <w:sz w:val="28"/>
          <w:szCs w:val="28"/>
        </w:rPr>
        <w:t xml:space="preserve">These principal-agent problems </w:t>
      </w:r>
      <w:r w:rsidR="00190C05" w:rsidRPr="004A4D63">
        <w:rPr>
          <w:sz w:val="28"/>
          <w:szCs w:val="28"/>
        </w:rPr>
        <w:t>a</w:t>
      </w:r>
      <w:r w:rsidR="00D25F96" w:rsidRPr="004A4D63">
        <w:rPr>
          <w:sz w:val="28"/>
          <w:szCs w:val="28"/>
        </w:rPr>
        <w:t xml:space="preserve">rise </w:t>
      </w:r>
      <w:r w:rsidR="005351C4" w:rsidRPr="004A4D63">
        <w:rPr>
          <w:sz w:val="28"/>
          <w:szCs w:val="28"/>
        </w:rPr>
        <w:t xml:space="preserve">most </w:t>
      </w:r>
      <w:r w:rsidR="00D25F96" w:rsidRPr="004A4D63">
        <w:rPr>
          <w:sz w:val="28"/>
          <w:szCs w:val="28"/>
        </w:rPr>
        <w:t>frequently when presidential administrations change and the 3-2 political balance on the board switches</w:t>
      </w:r>
      <w:r w:rsidR="005351C4" w:rsidRPr="004A4D63">
        <w:rPr>
          <w:sz w:val="28"/>
          <w:szCs w:val="28"/>
        </w:rPr>
        <w:t>,</w:t>
      </w:r>
      <w:r w:rsidR="00D25F96" w:rsidRPr="004A4D63">
        <w:rPr>
          <w:sz w:val="28"/>
          <w:szCs w:val="28"/>
        </w:rPr>
        <w:t xml:space="preserve"> while the GC holds over.</w:t>
      </w:r>
      <w:r w:rsidR="00D25F96" w:rsidRPr="004A4D63">
        <w:rPr>
          <w:rStyle w:val="FootnoteReference"/>
          <w:sz w:val="28"/>
          <w:szCs w:val="28"/>
        </w:rPr>
        <w:footnoteReference w:id="197"/>
      </w:r>
      <w:r w:rsidR="00D25F96" w:rsidRPr="004A4D63">
        <w:rPr>
          <w:sz w:val="28"/>
          <w:szCs w:val="28"/>
        </w:rPr>
        <w:t xml:space="preserve">  </w:t>
      </w:r>
      <w:r w:rsidR="00102894" w:rsidRPr="004A4D63">
        <w:rPr>
          <w:sz w:val="28"/>
          <w:szCs w:val="28"/>
        </w:rPr>
        <w:t>The GC may refuse to issue complaints in cases that the heads would have prosecute</w:t>
      </w:r>
      <w:r w:rsidR="00EF3A97">
        <w:rPr>
          <w:sz w:val="28"/>
          <w:szCs w:val="28"/>
        </w:rPr>
        <w:t>d</w:t>
      </w:r>
      <w:r w:rsidR="00102894" w:rsidRPr="004A4D63">
        <w:rPr>
          <w:sz w:val="28"/>
          <w:szCs w:val="28"/>
        </w:rPr>
        <w:t>.</w:t>
      </w:r>
      <w:r w:rsidR="003D7D3A" w:rsidRPr="004A4D63">
        <w:rPr>
          <w:rStyle w:val="FootnoteReference"/>
          <w:sz w:val="28"/>
          <w:szCs w:val="28"/>
        </w:rPr>
        <w:footnoteReference w:id="198"/>
      </w:r>
      <w:r w:rsidR="00E11428" w:rsidRPr="004A4D63">
        <w:rPr>
          <w:sz w:val="28"/>
          <w:szCs w:val="28"/>
        </w:rPr>
        <w:t xml:space="preserve"> </w:t>
      </w:r>
      <w:r w:rsidR="00102894" w:rsidRPr="004A4D63">
        <w:rPr>
          <w:sz w:val="28"/>
          <w:szCs w:val="28"/>
        </w:rPr>
        <w:t>Alternatively, the GC may issue complaints that the heads would not have authorized</w:t>
      </w:r>
      <w:r w:rsidR="00EF3A97">
        <w:rPr>
          <w:sz w:val="28"/>
          <w:szCs w:val="28"/>
        </w:rPr>
        <w:t>.</w:t>
      </w:r>
      <w:r w:rsidR="00F35826" w:rsidRPr="004A4D63">
        <w:rPr>
          <w:rStyle w:val="FootnoteReference"/>
          <w:sz w:val="28"/>
          <w:szCs w:val="28"/>
        </w:rPr>
        <w:footnoteReference w:id="199"/>
      </w:r>
      <w:r w:rsidR="00102894" w:rsidRPr="004A4D63">
        <w:rPr>
          <w:sz w:val="28"/>
          <w:szCs w:val="28"/>
        </w:rPr>
        <w:t xml:space="preserve"> </w:t>
      </w:r>
      <w:r w:rsidR="00360F61" w:rsidRPr="004A4D63">
        <w:rPr>
          <w:sz w:val="28"/>
          <w:szCs w:val="28"/>
        </w:rPr>
        <w:t xml:space="preserve">Since most cases settle (at least 90%), the </w:t>
      </w:r>
      <w:r w:rsidR="00EF3A97">
        <w:rPr>
          <w:sz w:val="28"/>
          <w:szCs w:val="28"/>
        </w:rPr>
        <w:t xml:space="preserve">Board </w:t>
      </w:r>
      <w:r w:rsidR="00360F61" w:rsidRPr="004A4D63">
        <w:rPr>
          <w:sz w:val="28"/>
          <w:szCs w:val="28"/>
        </w:rPr>
        <w:t xml:space="preserve">never </w:t>
      </w:r>
      <w:r w:rsidR="00EF3A97">
        <w:rPr>
          <w:sz w:val="28"/>
          <w:szCs w:val="28"/>
        </w:rPr>
        <w:t xml:space="preserve">has </w:t>
      </w:r>
      <w:r w:rsidR="00360F61" w:rsidRPr="004A4D63">
        <w:rPr>
          <w:sz w:val="28"/>
          <w:szCs w:val="28"/>
        </w:rPr>
        <w:t>an opportunity to pass on the policy issues raised in settled cases.</w:t>
      </w:r>
    </w:p>
    <w:p w14:paraId="467CAFA3" w14:textId="4DC93B3E" w:rsidR="009C645F" w:rsidRPr="004A4D63" w:rsidRDefault="00360F61" w:rsidP="0065383A">
      <w:pPr>
        <w:spacing w:line="480" w:lineRule="auto"/>
        <w:rPr>
          <w:sz w:val="28"/>
          <w:szCs w:val="28"/>
        </w:rPr>
      </w:pPr>
      <w:r w:rsidRPr="004A4D63">
        <w:rPr>
          <w:sz w:val="28"/>
          <w:szCs w:val="28"/>
        </w:rPr>
        <w:tab/>
      </w:r>
      <w:r w:rsidR="00950841" w:rsidRPr="004A4D63">
        <w:rPr>
          <w:sz w:val="28"/>
          <w:szCs w:val="28"/>
        </w:rPr>
        <w:t>One example of this sort of conflict arises out of the GC’s valuable advice-giving functio</w:t>
      </w:r>
      <w:r w:rsidRPr="004A4D63">
        <w:rPr>
          <w:sz w:val="28"/>
          <w:szCs w:val="28"/>
        </w:rPr>
        <w:t>n</w:t>
      </w:r>
      <w:r w:rsidR="00950841" w:rsidRPr="004A4D63">
        <w:rPr>
          <w:sz w:val="28"/>
          <w:szCs w:val="28"/>
        </w:rPr>
        <w:t>.  If the GC disagrees with Board-made law and hopes to change it, the GC can advise charging parties to file particular types of charges and regional offices to issue compl</w:t>
      </w:r>
      <w:r w:rsidRPr="004A4D63">
        <w:rPr>
          <w:sz w:val="28"/>
          <w:szCs w:val="28"/>
        </w:rPr>
        <w:t>a</w:t>
      </w:r>
      <w:r w:rsidR="00950841" w:rsidRPr="004A4D63">
        <w:rPr>
          <w:sz w:val="28"/>
          <w:szCs w:val="28"/>
        </w:rPr>
        <w:t>ints in those cases.</w:t>
      </w:r>
      <w:r w:rsidR="00BD295A" w:rsidRPr="004A4D63">
        <w:rPr>
          <w:sz w:val="28"/>
          <w:szCs w:val="28"/>
        </w:rPr>
        <w:t xml:space="preserve">  Of course, the Board makes the final </w:t>
      </w:r>
      <w:r w:rsidR="00BD295A" w:rsidRPr="004A4D63">
        <w:rPr>
          <w:sz w:val="28"/>
          <w:szCs w:val="28"/>
        </w:rPr>
        <w:lastRenderedPageBreak/>
        <w:t>call and can reject the GC’s initiative.</w:t>
      </w:r>
      <w:r w:rsidR="004139D9" w:rsidRPr="004A4D63">
        <w:rPr>
          <w:sz w:val="28"/>
          <w:szCs w:val="28"/>
        </w:rPr>
        <w:t xml:space="preserve">  </w:t>
      </w:r>
      <w:r w:rsidR="00B677BB" w:rsidRPr="004A4D63">
        <w:rPr>
          <w:sz w:val="28"/>
          <w:szCs w:val="28"/>
        </w:rPr>
        <w:t xml:space="preserve">Charging parties are allowed to participate in ALJ hearings and can introduce witnesses and argument supporting their view, perhaps disagreeing with the GC’s approach. </w:t>
      </w:r>
      <w:r w:rsidR="004139D9" w:rsidRPr="004A4D63">
        <w:rPr>
          <w:sz w:val="28"/>
          <w:szCs w:val="28"/>
        </w:rPr>
        <w:t>On the other hand, the Board will be unable to change existing law if the GC disagrees and declines to charge cases raising the issue.</w:t>
      </w:r>
      <w:r w:rsidRPr="004A4D63">
        <w:rPr>
          <w:rStyle w:val="FootnoteReference"/>
          <w:sz w:val="28"/>
          <w:szCs w:val="28"/>
        </w:rPr>
        <w:footnoteReference w:id="200"/>
      </w:r>
      <w:r w:rsidR="00950841" w:rsidRPr="004A4D63">
        <w:rPr>
          <w:sz w:val="28"/>
          <w:szCs w:val="28"/>
        </w:rPr>
        <w:t xml:space="preserve"> </w:t>
      </w:r>
      <w:r w:rsidR="00041129" w:rsidRPr="004A4D63">
        <w:rPr>
          <w:sz w:val="28"/>
          <w:szCs w:val="28"/>
        </w:rPr>
        <w:t xml:space="preserve"> </w:t>
      </w:r>
    </w:p>
    <w:p w14:paraId="1EF0BFC3" w14:textId="3BF288B9" w:rsidR="00D25F96" w:rsidRPr="004A4D63" w:rsidRDefault="00F35826" w:rsidP="0065383A">
      <w:pPr>
        <w:spacing w:line="480" w:lineRule="auto"/>
        <w:rPr>
          <w:sz w:val="28"/>
          <w:szCs w:val="28"/>
        </w:rPr>
      </w:pPr>
      <w:r w:rsidRPr="004A4D63">
        <w:rPr>
          <w:sz w:val="28"/>
          <w:szCs w:val="28"/>
        </w:rPr>
        <w:tab/>
        <w:t>An</w:t>
      </w:r>
      <w:r w:rsidR="005201AD" w:rsidRPr="004A4D63">
        <w:rPr>
          <w:sz w:val="28"/>
          <w:szCs w:val="28"/>
        </w:rPr>
        <w:t xml:space="preserve">other </w:t>
      </w:r>
      <w:r w:rsidRPr="004A4D63">
        <w:rPr>
          <w:sz w:val="28"/>
          <w:szCs w:val="28"/>
        </w:rPr>
        <w:t xml:space="preserve">area in which the general counsel and the agency heads might </w:t>
      </w:r>
      <w:r w:rsidR="005201AD" w:rsidRPr="004A4D63">
        <w:rPr>
          <w:sz w:val="28"/>
          <w:szCs w:val="28"/>
        </w:rPr>
        <w:t xml:space="preserve">come into </w:t>
      </w:r>
      <w:r w:rsidRPr="004A4D63">
        <w:rPr>
          <w:sz w:val="28"/>
          <w:szCs w:val="28"/>
        </w:rPr>
        <w:t xml:space="preserve">conflict arises </w:t>
      </w:r>
      <w:r w:rsidR="00897250" w:rsidRPr="004A4D63">
        <w:rPr>
          <w:sz w:val="28"/>
          <w:szCs w:val="28"/>
        </w:rPr>
        <w:t xml:space="preserve">in the area of judicial enforcement. Unlike other independent agencies, the Board’s attorneys handle litigation for the Board through the Court of Appeal level. Conflict might arise </w:t>
      </w:r>
      <w:r w:rsidR="00E11428" w:rsidRPr="004A4D63">
        <w:rPr>
          <w:sz w:val="28"/>
          <w:szCs w:val="28"/>
        </w:rPr>
        <w:t xml:space="preserve">when the </w:t>
      </w:r>
      <w:r w:rsidR="003D7D3A" w:rsidRPr="004A4D63">
        <w:rPr>
          <w:sz w:val="28"/>
          <w:szCs w:val="28"/>
        </w:rPr>
        <w:t>GC</w:t>
      </w:r>
      <w:r w:rsidR="00E11428" w:rsidRPr="004A4D63">
        <w:rPr>
          <w:sz w:val="28"/>
          <w:szCs w:val="28"/>
        </w:rPr>
        <w:t xml:space="preserve"> is called on to enforce a Board decision in court with which the GC disagrees</w:t>
      </w:r>
      <w:r w:rsidR="00897250" w:rsidRPr="004A4D63">
        <w:rPr>
          <w:sz w:val="28"/>
          <w:szCs w:val="28"/>
        </w:rPr>
        <w:t xml:space="preserve"> (as could occur after a change in presidential administration, where the GC is a holdover). </w:t>
      </w:r>
      <w:r w:rsidR="00386D34" w:rsidRPr="004A4D63">
        <w:rPr>
          <w:sz w:val="28"/>
          <w:szCs w:val="28"/>
        </w:rPr>
        <w:t>Such problems have occurred in the past, but not in recent years.</w:t>
      </w:r>
      <w:r w:rsidRPr="004A4D63">
        <w:rPr>
          <w:rStyle w:val="FootnoteReference"/>
          <w:sz w:val="28"/>
          <w:szCs w:val="28"/>
        </w:rPr>
        <w:footnoteReference w:id="201"/>
      </w:r>
      <w:r w:rsidR="00E11428" w:rsidRPr="004A4D63">
        <w:rPr>
          <w:sz w:val="28"/>
          <w:szCs w:val="28"/>
        </w:rPr>
        <w:t xml:space="preserve"> </w:t>
      </w:r>
      <w:r w:rsidRPr="004A4D63">
        <w:rPr>
          <w:sz w:val="28"/>
          <w:szCs w:val="28"/>
        </w:rPr>
        <w:t xml:space="preserve"> </w:t>
      </w:r>
    </w:p>
    <w:p w14:paraId="53515EEB" w14:textId="1D5AC8FF" w:rsidR="00102894" w:rsidRPr="004A4D63" w:rsidRDefault="00D25F96" w:rsidP="0065383A">
      <w:pPr>
        <w:spacing w:line="480" w:lineRule="auto"/>
        <w:rPr>
          <w:sz w:val="28"/>
          <w:szCs w:val="28"/>
        </w:rPr>
      </w:pPr>
      <w:r w:rsidRPr="004A4D63">
        <w:rPr>
          <w:sz w:val="28"/>
          <w:szCs w:val="28"/>
        </w:rPr>
        <w:tab/>
        <w:t>A</w:t>
      </w:r>
      <w:r w:rsidR="00F35826" w:rsidRPr="004A4D63">
        <w:rPr>
          <w:sz w:val="28"/>
          <w:szCs w:val="28"/>
        </w:rPr>
        <w:t xml:space="preserve">n additional problem with the independent </w:t>
      </w:r>
      <w:r w:rsidR="004D37E7" w:rsidRPr="004A4D63">
        <w:rPr>
          <w:sz w:val="28"/>
          <w:szCs w:val="28"/>
        </w:rPr>
        <w:t xml:space="preserve">GC </w:t>
      </w:r>
      <w:r w:rsidR="00F35826" w:rsidRPr="004A4D63">
        <w:rPr>
          <w:sz w:val="28"/>
          <w:szCs w:val="28"/>
        </w:rPr>
        <w:t xml:space="preserve">is that it creates </w:t>
      </w:r>
      <w:r w:rsidR="005351C4" w:rsidRPr="004A4D63">
        <w:rPr>
          <w:sz w:val="28"/>
          <w:szCs w:val="28"/>
        </w:rPr>
        <w:t xml:space="preserve">a </w:t>
      </w:r>
      <w:r w:rsidR="00F35826" w:rsidRPr="004A4D63">
        <w:rPr>
          <w:sz w:val="28"/>
          <w:szCs w:val="28"/>
        </w:rPr>
        <w:t xml:space="preserve">duplicate power center within </w:t>
      </w:r>
      <w:r w:rsidR="00190C05" w:rsidRPr="004A4D63">
        <w:rPr>
          <w:sz w:val="28"/>
          <w:szCs w:val="28"/>
        </w:rPr>
        <w:t xml:space="preserve">the </w:t>
      </w:r>
      <w:r w:rsidR="00F35826" w:rsidRPr="004A4D63">
        <w:rPr>
          <w:sz w:val="28"/>
          <w:szCs w:val="28"/>
        </w:rPr>
        <w:t>agency.</w:t>
      </w:r>
      <w:r w:rsidR="00CE4375" w:rsidRPr="004A4D63">
        <w:rPr>
          <w:sz w:val="28"/>
          <w:szCs w:val="28"/>
        </w:rPr>
        <w:t xml:space="preserve"> </w:t>
      </w:r>
      <w:r w:rsidR="004D37E7" w:rsidRPr="004A4D63">
        <w:rPr>
          <w:sz w:val="28"/>
          <w:szCs w:val="28"/>
        </w:rPr>
        <w:t>T</w:t>
      </w:r>
      <w:r w:rsidR="00CE4375" w:rsidRPr="004A4D63">
        <w:rPr>
          <w:sz w:val="28"/>
          <w:szCs w:val="28"/>
        </w:rPr>
        <w:t xml:space="preserve">he GC is a </w:t>
      </w:r>
      <w:r w:rsidR="004D37E7" w:rsidRPr="004A4D63">
        <w:rPr>
          <w:sz w:val="28"/>
          <w:szCs w:val="28"/>
        </w:rPr>
        <w:t xml:space="preserve">de facto </w:t>
      </w:r>
      <w:r w:rsidR="00CE4375" w:rsidRPr="004A4D63">
        <w:rPr>
          <w:sz w:val="28"/>
          <w:szCs w:val="28"/>
        </w:rPr>
        <w:t xml:space="preserve">agency head whose practical power may well exceed those of the five NLRB </w:t>
      </w:r>
      <w:r w:rsidR="00BD52A3" w:rsidRPr="004A4D63">
        <w:rPr>
          <w:sz w:val="28"/>
          <w:szCs w:val="28"/>
        </w:rPr>
        <w:t xml:space="preserve">members. </w:t>
      </w:r>
      <w:r w:rsidR="00D45F00" w:rsidRPr="004A4D63">
        <w:rPr>
          <w:sz w:val="28"/>
          <w:szCs w:val="28"/>
        </w:rPr>
        <w:t>Particularly during periods of budget stringency and uncertainty, such as have occurred in recent years, the board and GC have disagreed about management and budgetary issues</w:t>
      </w:r>
      <w:r w:rsidR="00190C05" w:rsidRPr="004A4D63">
        <w:rPr>
          <w:sz w:val="28"/>
          <w:szCs w:val="28"/>
        </w:rPr>
        <w:t>, such as how to make the necessary budget cuts</w:t>
      </w:r>
      <w:r w:rsidR="00A41F77" w:rsidRPr="004A4D63">
        <w:rPr>
          <w:sz w:val="28"/>
          <w:szCs w:val="28"/>
        </w:rPr>
        <w:t xml:space="preserve"> and </w:t>
      </w:r>
      <w:r w:rsidR="00E468FC" w:rsidRPr="004A4D63">
        <w:rPr>
          <w:sz w:val="28"/>
          <w:szCs w:val="28"/>
        </w:rPr>
        <w:t xml:space="preserve">how to </w:t>
      </w:r>
      <w:r w:rsidR="00A41F77" w:rsidRPr="004A4D63">
        <w:rPr>
          <w:sz w:val="28"/>
          <w:szCs w:val="28"/>
        </w:rPr>
        <w:t>allocat</w:t>
      </w:r>
      <w:r w:rsidR="00E468FC" w:rsidRPr="004A4D63">
        <w:rPr>
          <w:sz w:val="28"/>
          <w:szCs w:val="28"/>
        </w:rPr>
        <w:t>e</w:t>
      </w:r>
      <w:r w:rsidR="00A41F77" w:rsidRPr="004A4D63">
        <w:rPr>
          <w:sz w:val="28"/>
          <w:szCs w:val="28"/>
        </w:rPr>
        <w:t xml:space="preserve"> limited </w:t>
      </w:r>
      <w:r w:rsidR="00A41F77" w:rsidRPr="004A4D63">
        <w:rPr>
          <w:sz w:val="28"/>
          <w:szCs w:val="28"/>
        </w:rPr>
        <w:lastRenderedPageBreak/>
        <w:t>resources</w:t>
      </w:r>
      <w:r w:rsidR="00D45F00" w:rsidRPr="004A4D63">
        <w:rPr>
          <w:sz w:val="28"/>
          <w:szCs w:val="28"/>
        </w:rPr>
        <w:t>.</w:t>
      </w:r>
      <w:r w:rsidRPr="004A4D63">
        <w:rPr>
          <w:sz w:val="28"/>
          <w:szCs w:val="28"/>
        </w:rPr>
        <w:t xml:space="preserve"> A recent example of G</w:t>
      </w:r>
      <w:r w:rsidR="00D062A9" w:rsidRPr="004A4D63">
        <w:rPr>
          <w:sz w:val="28"/>
          <w:szCs w:val="28"/>
        </w:rPr>
        <w:t>C</w:t>
      </w:r>
      <w:r w:rsidRPr="004A4D63">
        <w:rPr>
          <w:sz w:val="28"/>
          <w:szCs w:val="28"/>
        </w:rPr>
        <w:t xml:space="preserve">-Board </w:t>
      </w:r>
      <w:r w:rsidR="00D062A9" w:rsidRPr="004A4D63">
        <w:rPr>
          <w:sz w:val="28"/>
          <w:szCs w:val="28"/>
        </w:rPr>
        <w:t xml:space="preserve">conflict </w:t>
      </w:r>
      <w:r w:rsidR="00E468FC" w:rsidRPr="004A4D63">
        <w:rPr>
          <w:sz w:val="28"/>
          <w:szCs w:val="28"/>
        </w:rPr>
        <w:t xml:space="preserve">resulted from </w:t>
      </w:r>
      <w:r w:rsidRPr="004A4D63">
        <w:rPr>
          <w:sz w:val="28"/>
          <w:szCs w:val="28"/>
        </w:rPr>
        <w:t>differences of opinion</w:t>
      </w:r>
      <w:r w:rsidR="00D062A9" w:rsidRPr="004A4D63">
        <w:rPr>
          <w:sz w:val="28"/>
          <w:szCs w:val="28"/>
        </w:rPr>
        <w:t xml:space="preserve"> </w:t>
      </w:r>
      <w:r w:rsidRPr="004A4D63">
        <w:rPr>
          <w:sz w:val="28"/>
          <w:szCs w:val="28"/>
        </w:rPr>
        <w:t xml:space="preserve">about replacement of the Board’s outmoded IT system. </w:t>
      </w:r>
      <w:r w:rsidR="00D45F00" w:rsidRPr="004A4D63">
        <w:rPr>
          <w:sz w:val="28"/>
          <w:szCs w:val="28"/>
        </w:rPr>
        <w:t xml:space="preserve">In addition, </w:t>
      </w:r>
      <w:r w:rsidR="00F35826" w:rsidRPr="004A4D63">
        <w:rPr>
          <w:sz w:val="28"/>
          <w:szCs w:val="28"/>
        </w:rPr>
        <w:t xml:space="preserve">the GC makes staff hiring decisions </w:t>
      </w:r>
      <w:r w:rsidR="00190C05" w:rsidRPr="004A4D63">
        <w:rPr>
          <w:sz w:val="28"/>
          <w:szCs w:val="28"/>
        </w:rPr>
        <w:t>(except over the Board members’ personal staffs). GC hiring decisions have given rise to conflict with Board members.</w:t>
      </w:r>
      <w:r w:rsidR="00F35826" w:rsidRPr="004A4D63">
        <w:rPr>
          <w:rStyle w:val="FootnoteReference"/>
          <w:sz w:val="28"/>
          <w:szCs w:val="28"/>
        </w:rPr>
        <w:footnoteReference w:id="202"/>
      </w:r>
      <w:r w:rsidR="00F35826" w:rsidRPr="004A4D63">
        <w:rPr>
          <w:sz w:val="28"/>
          <w:szCs w:val="28"/>
        </w:rPr>
        <w:t xml:space="preserve">  </w:t>
      </w:r>
      <w:r w:rsidR="00950841" w:rsidRPr="004A4D63">
        <w:rPr>
          <w:sz w:val="28"/>
          <w:szCs w:val="28"/>
        </w:rPr>
        <w:tab/>
      </w:r>
    </w:p>
    <w:p w14:paraId="2931907C" w14:textId="78820562" w:rsidR="00C85F1A" w:rsidRPr="004A4D63" w:rsidRDefault="00102894" w:rsidP="0065383A">
      <w:pPr>
        <w:spacing w:line="480" w:lineRule="auto"/>
        <w:rPr>
          <w:sz w:val="28"/>
          <w:szCs w:val="28"/>
        </w:rPr>
      </w:pPr>
      <w:r w:rsidRPr="004A4D63">
        <w:rPr>
          <w:sz w:val="28"/>
          <w:szCs w:val="28"/>
        </w:rPr>
        <w:tab/>
      </w:r>
      <w:r w:rsidR="00E62030" w:rsidRPr="004A4D63">
        <w:rPr>
          <w:sz w:val="28"/>
          <w:szCs w:val="28"/>
        </w:rPr>
        <w:t>I</w:t>
      </w:r>
      <w:r w:rsidR="006C2AF2" w:rsidRPr="004A4D63">
        <w:rPr>
          <w:sz w:val="28"/>
          <w:szCs w:val="28"/>
        </w:rPr>
        <w:t>n my interviews, I found little enthusiasm for the NLRB model</w:t>
      </w:r>
      <w:r w:rsidR="003D7D3A" w:rsidRPr="004A4D63">
        <w:rPr>
          <w:sz w:val="28"/>
          <w:szCs w:val="28"/>
        </w:rPr>
        <w:t xml:space="preserve"> in other federal combined-function agencies. </w:t>
      </w:r>
      <w:r w:rsidR="006C2AF2" w:rsidRPr="004A4D63">
        <w:rPr>
          <w:sz w:val="28"/>
          <w:szCs w:val="28"/>
        </w:rPr>
        <w:t>Most interviewees favored having the agency heads make charging decisions, both in the interest of constraining prosecutors and articulating policy.</w:t>
      </w:r>
      <w:r w:rsidR="00597060" w:rsidRPr="004A4D63">
        <w:rPr>
          <w:rStyle w:val="FootnoteReference"/>
          <w:sz w:val="28"/>
          <w:szCs w:val="28"/>
        </w:rPr>
        <w:footnoteReference w:id="203"/>
      </w:r>
      <w:r w:rsidR="00E62030" w:rsidRPr="004A4D63">
        <w:rPr>
          <w:sz w:val="28"/>
          <w:szCs w:val="28"/>
        </w:rPr>
        <w:t xml:space="preserve"> They were concerned by the problem of </w:t>
      </w:r>
      <w:r w:rsidR="00E93099" w:rsidRPr="004A4D63">
        <w:rPr>
          <w:sz w:val="28"/>
          <w:szCs w:val="28"/>
        </w:rPr>
        <w:t xml:space="preserve">the general counsel being out of sync </w:t>
      </w:r>
      <w:r w:rsidR="00B72A27" w:rsidRPr="004A4D63">
        <w:rPr>
          <w:sz w:val="28"/>
          <w:szCs w:val="28"/>
        </w:rPr>
        <w:t xml:space="preserve">with the agency heads and the creation of a </w:t>
      </w:r>
      <w:r w:rsidR="00E62030" w:rsidRPr="004A4D63">
        <w:rPr>
          <w:sz w:val="28"/>
          <w:szCs w:val="28"/>
        </w:rPr>
        <w:t>competing power center</w:t>
      </w:r>
      <w:r w:rsidR="00B72A27" w:rsidRPr="004A4D63">
        <w:rPr>
          <w:sz w:val="28"/>
          <w:szCs w:val="28"/>
        </w:rPr>
        <w:t>.</w:t>
      </w:r>
      <w:r w:rsidR="00597060" w:rsidRPr="004A4D63">
        <w:rPr>
          <w:rStyle w:val="FootnoteReference"/>
          <w:sz w:val="28"/>
          <w:szCs w:val="28"/>
        </w:rPr>
        <w:footnoteReference w:id="204"/>
      </w:r>
      <w:r w:rsidR="00E62030" w:rsidRPr="004A4D63">
        <w:rPr>
          <w:sz w:val="28"/>
          <w:szCs w:val="28"/>
        </w:rPr>
        <w:t xml:space="preserve"> </w:t>
      </w:r>
      <w:r w:rsidR="00B72A27" w:rsidRPr="004A4D63">
        <w:rPr>
          <w:sz w:val="28"/>
          <w:szCs w:val="28"/>
        </w:rPr>
        <w:t xml:space="preserve">They feared that an </w:t>
      </w:r>
      <w:r w:rsidR="00E62030" w:rsidRPr="004A4D63">
        <w:rPr>
          <w:sz w:val="28"/>
          <w:szCs w:val="28"/>
        </w:rPr>
        <w:t>independent general counsel might increase partisanship.</w:t>
      </w:r>
      <w:r w:rsidR="00597060" w:rsidRPr="004A4D63">
        <w:rPr>
          <w:rStyle w:val="FootnoteReference"/>
          <w:sz w:val="28"/>
          <w:szCs w:val="28"/>
        </w:rPr>
        <w:footnoteReference w:id="205"/>
      </w:r>
      <w:r w:rsidR="0051399D" w:rsidRPr="004A4D63">
        <w:rPr>
          <w:sz w:val="28"/>
          <w:szCs w:val="28"/>
        </w:rPr>
        <w:t xml:space="preserve"> A minority of interviewees</w:t>
      </w:r>
      <w:r w:rsidR="00E93099" w:rsidRPr="004A4D63">
        <w:rPr>
          <w:sz w:val="28"/>
          <w:szCs w:val="28"/>
        </w:rPr>
        <w:t xml:space="preserve"> </w:t>
      </w:r>
      <w:r w:rsidR="0051399D" w:rsidRPr="004A4D63">
        <w:rPr>
          <w:sz w:val="28"/>
          <w:szCs w:val="28"/>
        </w:rPr>
        <w:t>were open to the idea.</w:t>
      </w:r>
      <w:r w:rsidR="00597060" w:rsidRPr="004A4D63">
        <w:rPr>
          <w:rStyle w:val="FootnoteReference"/>
          <w:sz w:val="28"/>
          <w:szCs w:val="28"/>
        </w:rPr>
        <w:footnoteReference w:id="206"/>
      </w:r>
      <w:r w:rsidR="0051399D" w:rsidRPr="004A4D63">
        <w:rPr>
          <w:sz w:val="28"/>
          <w:szCs w:val="28"/>
        </w:rPr>
        <w:t xml:space="preserve"> </w:t>
      </w:r>
    </w:p>
    <w:p w14:paraId="47E1A5F7" w14:textId="4D946B7C" w:rsidR="008327EF" w:rsidRPr="004A4D63" w:rsidRDefault="006C2000" w:rsidP="0065383A">
      <w:pPr>
        <w:spacing w:line="480" w:lineRule="auto"/>
        <w:rPr>
          <w:b/>
          <w:bCs/>
          <w:sz w:val="28"/>
          <w:szCs w:val="28"/>
        </w:rPr>
      </w:pPr>
      <w:r w:rsidRPr="004A4D63">
        <w:rPr>
          <w:b/>
          <w:bCs/>
          <w:sz w:val="28"/>
          <w:szCs w:val="28"/>
        </w:rPr>
        <w:t>G</w:t>
      </w:r>
      <w:r w:rsidR="00324A8A" w:rsidRPr="004A4D63">
        <w:rPr>
          <w:b/>
          <w:bCs/>
          <w:sz w:val="28"/>
          <w:szCs w:val="28"/>
        </w:rPr>
        <w:t xml:space="preserve">. </w:t>
      </w:r>
      <w:r w:rsidR="008327EF" w:rsidRPr="004A4D63">
        <w:rPr>
          <w:b/>
          <w:bCs/>
          <w:sz w:val="28"/>
          <w:szCs w:val="28"/>
        </w:rPr>
        <w:t xml:space="preserve"> E</w:t>
      </w:r>
      <w:r w:rsidR="00324A8A" w:rsidRPr="004A4D63">
        <w:rPr>
          <w:b/>
          <w:bCs/>
          <w:sz w:val="28"/>
          <w:szCs w:val="28"/>
        </w:rPr>
        <w:t>NFORCEMENT GUIDELINES</w:t>
      </w:r>
      <w:r w:rsidR="005351C4" w:rsidRPr="004A4D63">
        <w:rPr>
          <w:b/>
          <w:bCs/>
          <w:sz w:val="28"/>
          <w:szCs w:val="28"/>
        </w:rPr>
        <w:t xml:space="preserve">  </w:t>
      </w:r>
    </w:p>
    <w:p w14:paraId="74BA4FED" w14:textId="717E1718" w:rsidR="0076608F" w:rsidRPr="004A4D63" w:rsidRDefault="008327EF" w:rsidP="0065383A">
      <w:pPr>
        <w:spacing w:line="480" w:lineRule="auto"/>
        <w:rPr>
          <w:sz w:val="28"/>
          <w:szCs w:val="28"/>
        </w:rPr>
      </w:pPr>
      <w:r w:rsidRPr="004A4D63">
        <w:rPr>
          <w:sz w:val="28"/>
          <w:szCs w:val="28"/>
        </w:rPr>
        <w:tab/>
      </w:r>
      <w:r w:rsidR="0069487D" w:rsidRPr="004A4D63">
        <w:rPr>
          <w:sz w:val="28"/>
          <w:szCs w:val="28"/>
        </w:rPr>
        <w:t xml:space="preserve">One way to reduce administrative prosecutorial discretion is through </w:t>
      </w:r>
      <w:r w:rsidRPr="004A4D63">
        <w:rPr>
          <w:sz w:val="28"/>
          <w:szCs w:val="28"/>
        </w:rPr>
        <w:t>the adoption of guidance documents that establish enforcement priorities and criteria.</w:t>
      </w:r>
      <w:r w:rsidR="00B82802" w:rsidRPr="004A4D63">
        <w:rPr>
          <w:rStyle w:val="FootnoteReference"/>
          <w:sz w:val="28"/>
          <w:szCs w:val="28"/>
        </w:rPr>
        <w:footnoteReference w:id="207"/>
      </w:r>
      <w:r w:rsidRPr="004A4D63">
        <w:rPr>
          <w:sz w:val="28"/>
          <w:szCs w:val="28"/>
        </w:rPr>
        <w:t xml:space="preserve"> As conditions in the regulated industry change, or as new agency heads </w:t>
      </w:r>
      <w:r w:rsidR="00EF3A97" w:rsidRPr="004A4D63">
        <w:rPr>
          <w:sz w:val="28"/>
          <w:szCs w:val="28"/>
        </w:rPr>
        <w:lastRenderedPageBreak/>
        <w:t xml:space="preserve">with different priorities </w:t>
      </w:r>
      <w:r w:rsidRPr="004A4D63">
        <w:rPr>
          <w:sz w:val="28"/>
          <w:szCs w:val="28"/>
        </w:rPr>
        <w:t>are appointed, the guidelines can and should be updated.</w:t>
      </w:r>
      <w:r w:rsidR="001C3EDE" w:rsidRPr="004A4D63">
        <w:rPr>
          <w:rStyle w:val="FootnoteReference"/>
          <w:sz w:val="28"/>
          <w:szCs w:val="28"/>
        </w:rPr>
        <w:footnoteReference w:id="208"/>
      </w:r>
      <w:r w:rsidRPr="004A4D63">
        <w:rPr>
          <w:sz w:val="28"/>
          <w:szCs w:val="28"/>
        </w:rPr>
        <w:t xml:space="preserve"> Such guidelines provide readily available guidance for both staff and agency heads and help to assure more consistent charging decisions. </w:t>
      </w:r>
      <w:r w:rsidR="00B82802" w:rsidRPr="004A4D63">
        <w:rPr>
          <w:sz w:val="28"/>
          <w:szCs w:val="28"/>
        </w:rPr>
        <w:t>A concern with making such guidelines publicly available (as they must be under FOIA)</w:t>
      </w:r>
      <w:r w:rsidR="00B82802" w:rsidRPr="004A4D63">
        <w:rPr>
          <w:rStyle w:val="FootnoteReference"/>
          <w:sz w:val="28"/>
          <w:szCs w:val="28"/>
        </w:rPr>
        <w:footnoteReference w:id="209"/>
      </w:r>
      <w:r w:rsidR="00B82802" w:rsidRPr="004A4D63">
        <w:rPr>
          <w:sz w:val="28"/>
          <w:szCs w:val="28"/>
        </w:rPr>
        <w:t xml:space="preserve"> is that they can undermine deterrence by informing the regulated industry of what cases are unlikely to be prosecuted. </w:t>
      </w:r>
    </w:p>
    <w:p w14:paraId="7BEF0719" w14:textId="27144A97" w:rsidR="00010109" w:rsidRPr="004A4D63" w:rsidRDefault="0076608F" w:rsidP="00A7794A">
      <w:pPr>
        <w:spacing w:line="480" w:lineRule="auto"/>
        <w:rPr>
          <w:color w:val="3D3D3D"/>
          <w:sz w:val="28"/>
          <w:szCs w:val="28"/>
        </w:rPr>
      </w:pPr>
      <w:r w:rsidRPr="004A4D63">
        <w:rPr>
          <w:sz w:val="28"/>
          <w:szCs w:val="28"/>
        </w:rPr>
        <w:tab/>
      </w:r>
      <w:r w:rsidR="00FE44BF" w:rsidRPr="004A4D63">
        <w:rPr>
          <w:sz w:val="28"/>
          <w:szCs w:val="28"/>
        </w:rPr>
        <w:t xml:space="preserve">Nevertheless, federal agencies have found it feasible to establish prosecution guidelines that at least suggest the factors that prosecutors and investigators should consider. </w:t>
      </w:r>
      <w:r w:rsidR="00F4603D" w:rsidRPr="004A4D63">
        <w:rPr>
          <w:sz w:val="28"/>
          <w:szCs w:val="28"/>
        </w:rPr>
        <w:t>The FCC adopted guidelines for upward and downward adjustment of forfeiture penalties.</w:t>
      </w:r>
      <w:r w:rsidR="00A840A9" w:rsidRPr="004A4D63">
        <w:rPr>
          <w:rStyle w:val="FootnoteReference"/>
          <w:sz w:val="28"/>
          <w:szCs w:val="28"/>
        </w:rPr>
        <w:footnoteReference w:id="210"/>
      </w:r>
      <w:r w:rsidR="00A840A9" w:rsidRPr="004A4D63">
        <w:rPr>
          <w:sz w:val="28"/>
          <w:szCs w:val="28"/>
        </w:rPr>
        <w:t xml:space="preserve"> The</w:t>
      </w:r>
      <w:r w:rsidR="009A4FE2" w:rsidRPr="004A4D63">
        <w:rPr>
          <w:sz w:val="28"/>
          <w:szCs w:val="28"/>
        </w:rPr>
        <w:t xml:space="preserve"> </w:t>
      </w:r>
      <w:r w:rsidR="00A840A9" w:rsidRPr="004A4D63">
        <w:rPr>
          <w:sz w:val="28"/>
          <w:szCs w:val="28"/>
        </w:rPr>
        <w:t>NLRB Office of Advice furnishes detailed guidance to regional offices about enforcement criteria and policies in unfair labor practice cases.</w:t>
      </w:r>
      <w:r w:rsidR="008079BB" w:rsidRPr="004A4D63">
        <w:rPr>
          <w:sz w:val="28"/>
          <w:szCs w:val="28"/>
        </w:rPr>
        <w:t xml:space="preserve">  In addition, the </w:t>
      </w:r>
      <w:r w:rsidR="008F6202" w:rsidRPr="004A4D63">
        <w:rPr>
          <w:sz w:val="28"/>
          <w:szCs w:val="28"/>
        </w:rPr>
        <w:t xml:space="preserve">General Counsel </w:t>
      </w:r>
      <w:r w:rsidR="008079BB" w:rsidRPr="004A4D63">
        <w:rPr>
          <w:sz w:val="28"/>
          <w:szCs w:val="28"/>
        </w:rPr>
        <w:t xml:space="preserve">adopted detailed case-handling instructions </w:t>
      </w:r>
      <w:r w:rsidR="00497115" w:rsidRPr="004A4D63">
        <w:rPr>
          <w:sz w:val="28"/>
          <w:szCs w:val="28"/>
        </w:rPr>
        <w:t xml:space="preserve">(publicly available) </w:t>
      </w:r>
      <w:r w:rsidR="008079BB" w:rsidRPr="004A4D63">
        <w:rPr>
          <w:sz w:val="28"/>
          <w:szCs w:val="28"/>
        </w:rPr>
        <w:t>to regional offices about every aspect of processing ULP, representation and compliance cases.</w:t>
      </w:r>
      <w:r w:rsidR="009A4FE2" w:rsidRPr="004A4D63">
        <w:rPr>
          <w:rStyle w:val="FootnoteReference"/>
          <w:sz w:val="28"/>
          <w:szCs w:val="28"/>
        </w:rPr>
        <w:footnoteReference w:id="211"/>
      </w:r>
      <w:r w:rsidR="00A840A9" w:rsidRPr="004A4D63">
        <w:rPr>
          <w:sz w:val="28"/>
          <w:szCs w:val="28"/>
        </w:rPr>
        <w:t xml:space="preserve"> </w:t>
      </w:r>
      <w:r w:rsidRPr="004A4D63">
        <w:rPr>
          <w:sz w:val="28"/>
          <w:szCs w:val="28"/>
        </w:rPr>
        <w:t xml:space="preserve"> </w:t>
      </w:r>
      <w:r w:rsidR="00A7794A" w:rsidRPr="004A4D63">
        <w:rPr>
          <w:sz w:val="28"/>
          <w:szCs w:val="28"/>
        </w:rPr>
        <w:t xml:space="preserve">A </w:t>
      </w:r>
      <w:r w:rsidR="008F6202" w:rsidRPr="004A4D63">
        <w:rPr>
          <w:sz w:val="28"/>
          <w:szCs w:val="28"/>
        </w:rPr>
        <w:t xml:space="preserve">useful </w:t>
      </w:r>
      <w:r w:rsidR="00003A56" w:rsidRPr="004A4D63">
        <w:rPr>
          <w:sz w:val="28"/>
          <w:szCs w:val="28"/>
        </w:rPr>
        <w:t>FERC</w:t>
      </w:r>
      <w:r w:rsidRPr="004A4D63">
        <w:rPr>
          <w:sz w:val="28"/>
          <w:szCs w:val="28"/>
        </w:rPr>
        <w:t xml:space="preserve"> </w:t>
      </w:r>
      <w:r w:rsidR="00A7794A" w:rsidRPr="004A4D63">
        <w:rPr>
          <w:sz w:val="28"/>
          <w:szCs w:val="28"/>
        </w:rPr>
        <w:t xml:space="preserve">guideline </w:t>
      </w:r>
      <w:r w:rsidR="00A7794A" w:rsidRPr="004A4D63">
        <w:rPr>
          <w:sz w:val="28"/>
          <w:szCs w:val="28"/>
        </w:rPr>
        <w:lastRenderedPageBreak/>
        <w:t>lists the factors that staff should consider in deciding whether to open an investigation.</w:t>
      </w:r>
      <w:r w:rsidRPr="004A4D63">
        <w:rPr>
          <w:rStyle w:val="FootnoteReference"/>
          <w:sz w:val="28"/>
          <w:szCs w:val="28"/>
        </w:rPr>
        <w:footnoteReference w:id="212"/>
      </w:r>
      <w:r w:rsidRPr="004A4D63">
        <w:rPr>
          <w:sz w:val="28"/>
          <w:szCs w:val="28"/>
        </w:rPr>
        <w:t xml:space="preserve"> </w:t>
      </w:r>
      <w:r w:rsidR="00003A56" w:rsidRPr="004A4D63">
        <w:rPr>
          <w:color w:val="3D3D3D"/>
          <w:sz w:val="28"/>
          <w:szCs w:val="28"/>
        </w:rPr>
        <w:t xml:space="preserve"> </w:t>
      </w:r>
    </w:p>
    <w:p w14:paraId="507E4730" w14:textId="4F01243D" w:rsidR="00000C95" w:rsidRPr="004A4D63" w:rsidRDefault="00000C95" w:rsidP="00A7794A">
      <w:pPr>
        <w:spacing w:line="480" w:lineRule="auto"/>
        <w:rPr>
          <w:b/>
          <w:bCs/>
          <w:color w:val="3D3D3D"/>
          <w:sz w:val="28"/>
          <w:szCs w:val="28"/>
        </w:rPr>
      </w:pPr>
      <w:r w:rsidRPr="004A4D63">
        <w:rPr>
          <w:b/>
          <w:bCs/>
          <w:color w:val="3D3D3D"/>
          <w:sz w:val="28"/>
          <w:szCs w:val="28"/>
        </w:rPr>
        <w:t>H. PEER REVIEW OF PROSECUTION DECISIONS</w:t>
      </w:r>
    </w:p>
    <w:p w14:paraId="2AAA051C" w14:textId="77777777" w:rsidR="007A031C" w:rsidRDefault="004A4D63" w:rsidP="007A031C">
      <w:pPr>
        <w:spacing w:line="480" w:lineRule="auto"/>
        <w:rPr>
          <w:color w:val="3D3D3D"/>
          <w:sz w:val="28"/>
          <w:szCs w:val="28"/>
        </w:rPr>
      </w:pPr>
      <w:r w:rsidRPr="004A4D63">
        <w:rPr>
          <w:b/>
          <w:bCs/>
          <w:color w:val="3D3D3D"/>
          <w:sz w:val="28"/>
          <w:szCs w:val="28"/>
        </w:rPr>
        <w:tab/>
      </w:r>
      <w:r w:rsidRPr="004A4D63">
        <w:rPr>
          <w:color w:val="3D3D3D"/>
          <w:sz w:val="28"/>
          <w:szCs w:val="28"/>
        </w:rPr>
        <w:t xml:space="preserve">Another approach to limiting and checking administrative prosecutorial discretion is </w:t>
      </w:r>
      <w:r w:rsidR="007A031C">
        <w:rPr>
          <w:color w:val="3D3D3D"/>
          <w:sz w:val="28"/>
          <w:szCs w:val="28"/>
        </w:rPr>
        <w:t xml:space="preserve">to institute </w:t>
      </w:r>
      <w:r w:rsidRPr="004A4D63">
        <w:rPr>
          <w:color w:val="3D3D3D"/>
          <w:sz w:val="28"/>
          <w:szCs w:val="28"/>
        </w:rPr>
        <w:t xml:space="preserve">a system of peer review of charging decisions. </w:t>
      </w:r>
      <w:r w:rsidR="007A031C">
        <w:rPr>
          <w:color w:val="3D3D3D"/>
          <w:sz w:val="28"/>
          <w:szCs w:val="28"/>
        </w:rPr>
        <w:t xml:space="preserve"> Peer review is common in post-bureaucratic public administration, such as </w:t>
      </w:r>
      <w:r w:rsidR="007A031C" w:rsidRPr="004A4D63">
        <w:rPr>
          <w:color w:val="3D3D3D"/>
          <w:sz w:val="28"/>
          <w:szCs w:val="28"/>
        </w:rPr>
        <w:t xml:space="preserve">the </w:t>
      </w:r>
      <w:r w:rsidR="007A031C" w:rsidRPr="004A4D63">
        <w:rPr>
          <w:sz w:val="28"/>
          <w:szCs w:val="28"/>
        </w:rPr>
        <w:t>“mortality-morbidity” reviews of adverse events that occur in hospitals</w:t>
      </w:r>
      <w:r w:rsidR="007A031C">
        <w:rPr>
          <w:sz w:val="28"/>
          <w:szCs w:val="28"/>
        </w:rPr>
        <w:t>.</w:t>
      </w:r>
      <w:r w:rsidR="007A031C">
        <w:rPr>
          <w:rStyle w:val="FootnoteReference"/>
          <w:color w:val="3D3D3D"/>
          <w:sz w:val="28"/>
          <w:szCs w:val="28"/>
        </w:rPr>
        <w:footnoteReference w:id="213"/>
      </w:r>
      <w:r w:rsidR="007A031C" w:rsidRPr="004A4D63">
        <w:rPr>
          <w:sz w:val="28"/>
          <w:szCs w:val="28"/>
        </w:rPr>
        <w:t xml:space="preserve"> </w:t>
      </w:r>
      <w:r w:rsidR="007A031C">
        <w:rPr>
          <w:sz w:val="28"/>
          <w:szCs w:val="28"/>
        </w:rPr>
        <w:t xml:space="preserve">  The </w:t>
      </w:r>
      <w:r w:rsidRPr="004A4D63">
        <w:rPr>
          <w:color w:val="3D3D3D"/>
          <w:sz w:val="28"/>
          <w:szCs w:val="28"/>
        </w:rPr>
        <w:t xml:space="preserve">idea is that a team of staff prosecutors and investigators </w:t>
      </w:r>
      <w:r w:rsidR="007A031C">
        <w:rPr>
          <w:color w:val="3D3D3D"/>
          <w:sz w:val="28"/>
          <w:szCs w:val="28"/>
        </w:rPr>
        <w:t xml:space="preserve">would </w:t>
      </w:r>
      <w:r w:rsidRPr="004A4D63">
        <w:rPr>
          <w:color w:val="3D3D3D"/>
          <w:sz w:val="28"/>
          <w:szCs w:val="28"/>
        </w:rPr>
        <w:t xml:space="preserve">conduct periodic review of a sample of prior decisions by the staff to charge or not to charge. </w:t>
      </w:r>
      <w:r w:rsidR="007A031C">
        <w:rPr>
          <w:color w:val="3D3D3D"/>
          <w:sz w:val="28"/>
          <w:szCs w:val="28"/>
        </w:rPr>
        <w:t>T</w:t>
      </w:r>
      <w:r w:rsidRPr="004A4D63">
        <w:rPr>
          <w:color w:val="3D3D3D"/>
          <w:sz w:val="28"/>
          <w:szCs w:val="28"/>
        </w:rPr>
        <w:t xml:space="preserve">he objective of such peer review is to enhance learning of staff decisionmakers about the prosecutorial decisionmaking process and to achieve more consistency for future decisions.  The team would ascertain whether prior charging decisions led to successful and cost-effective outcomes and whether these decisions complied with the agency’s prosecutorial guidelines and procedural requirements. </w:t>
      </w:r>
    </w:p>
    <w:p w14:paraId="46CF1A94" w14:textId="418872D4" w:rsidR="00010109" w:rsidRPr="004A4D63" w:rsidRDefault="00000C95" w:rsidP="007A031C">
      <w:pPr>
        <w:spacing w:line="480" w:lineRule="auto"/>
        <w:rPr>
          <w:b/>
          <w:bCs/>
          <w:sz w:val="28"/>
          <w:szCs w:val="28"/>
        </w:rPr>
      </w:pPr>
      <w:r w:rsidRPr="004A4D63">
        <w:rPr>
          <w:b/>
          <w:bCs/>
          <w:sz w:val="28"/>
          <w:szCs w:val="28"/>
        </w:rPr>
        <w:t>I</w:t>
      </w:r>
      <w:r w:rsidR="00324A8A" w:rsidRPr="004A4D63">
        <w:rPr>
          <w:b/>
          <w:bCs/>
          <w:sz w:val="28"/>
          <w:szCs w:val="28"/>
        </w:rPr>
        <w:t xml:space="preserve">.  </w:t>
      </w:r>
      <w:r w:rsidR="009C3F3A" w:rsidRPr="004A4D63">
        <w:rPr>
          <w:b/>
          <w:bCs/>
          <w:sz w:val="28"/>
          <w:szCs w:val="28"/>
        </w:rPr>
        <w:t>S</w:t>
      </w:r>
      <w:r w:rsidR="00324A8A" w:rsidRPr="004A4D63">
        <w:rPr>
          <w:b/>
          <w:bCs/>
          <w:sz w:val="28"/>
          <w:szCs w:val="28"/>
        </w:rPr>
        <w:t xml:space="preserve">TRUCTURAL SOLUTIONS TO THE CONFIRMATION BIAS PROBLEM </w:t>
      </w:r>
      <w:r w:rsidR="00010109" w:rsidRPr="004A4D63">
        <w:rPr>
          <w:b/>
          <w:bCs/>
          <w:sz w:val="28"/>
          <w:szCs w:val="28"/>
        </w:rPr>
        <w:t xml:space="preserve"> </w:t>
      </w:r>
      <w:r w:rsidR="00010109" w:rsidRPr="004A4D63">
        <w:rPr>
          <w:b/>
          <w:bCs/>
          <w:sz w:val="28"/>
          <w:szCs w:val="28"/>
        </w:rPr>
        <w:tab/>
      </w:r>
    </w:p>
    <w:p w14:paraId="75F66179" w14:textId="2A135957" w:rsidR="00A44F2A" w:rsidRPr="004A4D63" w:rsidRDefault="00010109" w:rsidP="0065383A">
      <w:pPr>
        <w:spacing w:line="480" w:lineRule="auto"/>
        <w:rPr>
          <w:sz w:val="28"/>
          <w:szCs w:val="28"/>
        </w:rPr>
      </w:pPr>
      <w:r w:rsidRPr="004A4D63">
        <w:rPr>
          <w:sz w:val="28"/>
          <w:szCs w:val="28"/>
        </w:rPr>
        <w:tab/>
        <w:t xml:space="preserve">There are a number of </w:t>
      </w:r>
      <w:r w:rsidR="0069487D" w:rsidRPr="004A4D63">
        <w:rPr>
          <w:sz w:val="28"/>
          <w:szCs w:val="28"/>
        </w:rPr>
        <w:t xml:space="preserve">possible </w:t>
      </w:r>
      <w:r w:rsidR="00A44F2A" w:rsidRPr="004A4D63">
        <w:rPr>
          <w:sz w:val="28"/>
          <w:szCs w:val="28"/>
        </w:rPr>
        <w:t xml:space="preserve">structural changes </w:t>
      </w:r>
      <w:r w:rsidR="00F96C06">
        <w:rPr>
          <w:sz w:val="28"/>
          <w:szCs w:val="28"/>
        </w:rPr>
        <w:t xml:space="preserve">to the organization of combined function agencies </w:t>
      </w:r>
      <w:r w:rsidR="00A44F2A" w:rsidRPr="004A4D63">
        <w:rPr>
          <w:sz w:val="28"/>
          <w:szCs w:val="28"/>
        </w:rPr>
        <w:t xml:space="preserve">that would </w:t>
      </w:r>
      <w:r w:rsidR="001926B9" w:rsidRPr="004A4D63">
        <w:rPr>
          <w:sz w:val="28"/>
          <w:szCs w:val="28"/>
        </w:rPr>
        <w:t xml:space="preserve">remove the possibility </w:t>
      </w:r>
      <w:r w:rsidRPr="004A4D63">
        <w:rPr>
          <w:sz w:val="28"/>
          <w:szCs w:val="28"/>
        </w:rPr>
        <w:t xml:space="preserve">of confirmation </w:t>
      </w:r>
      <w:r w:rsidRPr="004A4D63">
        <w:rPr>
          <w:sz w:val="28"/>
          <w:szCs w:val="28"/>
        </w:rPr>
        <w:lastRenderedPageBreak/>
        <w:t>bias</w:t>
      </w:r>
      <w:r w:rsidR="00A44F2A" w:rsidRPr="004A4D63">
        <w:rPr>
          <w:sz w:val="28"/>
          <w:szCs w:val="28"/>
        </w:rPr>
        <w:t>.</w:t>
      </w:r>
      <w:r w:rsidRPr="004A4D63">
        <w:rPr>
          <w:sz w:val="28"/>
          <w:szCs w:val="28"/>
        </w:rPr>
        <w:t xml:space="preserve"> </w:t>
      </w:r>
      <w:r w:rsidR="00A44F2A" w:rsidRPr="004A4D63">
        <w:rPr>
          <w:sz w:val="28"/>
          <w:szCs w:val="28"/>
        </w:rPr>
        <w:t>Except for considering the NLRB option for stripping agenc</w:t>
      </w:r>
      <w:r w:rsidR="001926B9" w:rsidRPr="004A4D63">
        <w:rPr>
          <w:sz w:val="28"/>
          <w:szCs w:val="28"/>
        </w:rPr>
        <w:t xml:space="preserve">y heads </w:t>
      </w:r>
      <w:r w:rsidR="00A44F2A" w:rsidRPr="004A4D63">
        <w:rPr>
          <w:sz w:val="28"/>
          <w:szCs w:val="28"/>
        </w:rPr>
        <w:t>of greenlighting power,</w:t>
      </w:r>
      <w:r w:rsidR="00A44F2A" w:rsidRPr="004A4D63">
        <w:rPr>
          <w:rStyle w:val="FootnoteReference"/>
          <w:sz w:val="28"/>
          <w:szCs w:val="28"/>
        </w:rPr>
        <w:footnoteReference w:id="214"/>
      </w:r>
      <w:r w:rsidR="00A44F2A" w:rsidRPr="004A4D63">
        <w:rPr>
          <w:sz w:val="28"/>
          <w:szCs w:val="28"/>
        </w:rPr>
        <w:t xml:space="preserve"> </w:t>
      </w:r>
      <w:r w:rsidR="001926B9" w:rsidRPr="004A4D63">
        <w:rPr>
          <w:sz w:val="28"/>
          <w:szCs w:val="28"/>
        </w:rPr>
        <w:t>I</w:t>
      </w:r>
      <w:r w:rsidR="00A44F2A" w:rsidRPr="004A4D63">
        <w:rPr>
          <w:sz w:val="28"/>
          <w:szCs w:val="28"/>
        </w:rPr>
        <w:t xml:space="preserve"> have not explored these options. They are beyond the scope of this </w:t>
      </w:r>
      <w:r w:rsidR="00816D61" w:rsidRPr="004A4D63">
        <w:rPr>
          <w:sz w:val="28"/>
          <w:szCs w:val="28"/>
        </w:rPr>
        <w:t xml:space="preserve">article </w:t>
      </w:r>
      <w:r w:rsidR="001926B9" w:rsidRPr="004A4D63">
        <w:rPr>
          <w:sz w:val="28"/>
          <w:szCs w:val="28"/>
        </w:rPr>
        <w:t xml:space="preserve">and most of them </w:t>
      </w:r>
      <w:r w:rsidR="00A44F2A" w:rsidRPr="004A4D63">
        <w:rPr>
          <w:sz w:val="28"/>
          <w:szCs w:val="28"/>
        </w:rPr>
        <w:t>do not seem politically feasible.</w:t>
      </w:r>
      <w:r w:rsidR="005D5B18" w:rsidRPr="004A4D63">
        <w:rPr>
          <w:rStyle w:val="FootnoteReference"/>
          <w:sz w:val="28"/>
          <w:szCs w:val="28"/>
        </w:rPr>
        <w:footnoteReference w:id="215"/>
      </w:r>
    </w:p>
    <w:p w14:paraId="0E61A4BC" w14:textId="45532A76" w:rsidR="00010109" w:rsidRPr="004A4D63" w:rsidRDefault="00A44F2A" w:rsidP="0065383A">
      <w:pPr>
        <w:spacing w:line="480" w:lineRule="auto"/>
        <w:rPr>
          <w:sz w:val="28"/>
          <w:szCs w:val="28"/>
        </w:rPr>
      </w:pPr>
      <w:r w:rsidRPr="004A4D63">
        <w:rPr>
          <w:sz w:val="28"/>
          <w:szCs w:val="28"/>
        </w:rPr>
        <w:t xml:space="preserve"> </w:t>
      </w:r>
      <w:r w:rsidRPr="004A4D63">
        <w:rPr>
          <w:sz w:val="28"/>
          <w:szCs w:val="28"/>
        </w:rPr>
        <w:tab/>
      </w:r>
      <w:r w:rsidR="00010109" w:rsidRPr="004A4D63">
        <w:rPr>
          <w:sz w:val="28"/>
          <w:szCs w:val="28"/>
        </w:rPr>
        <w:t xml:space="preserve">For example, Congress might require that all enforcement </w:t>
      </w:r>
      <w:r w:rsidR="00AD4F9D" w:rsidRPr="004A4D63">
        <w:rPr>
          <w:sz w:val="28"/>
          <w:szCs w:val="28"/>
        </w:rPr>
        <w:t xml:space="preserve">adjudication be situated in </w:t>
      </w:r>
      <w:r w:rsidR="00010109" w:rsidRPr="004A4D63">
        <w:rPr>
          <w:sz w:val="28"/>
          <w:szCs w:val="28"/>
        </w:rPr>
        <w:t xml:space="preserve">federal court </w:t>
      </w:r>
      <w:r w:rsidR="00AD4F9D" w:rsidRPr="004A4D63">
        <w:rPr>
          <w:sz w:val="28"/>
          <w:szCs w:val="28"/>
        </w:rPr>
        <w:t xml:space="preserve">rather than </w:t>
      </w:r>
      <w:r w:rsidR="001926B9" w:rsidRPr="004A4D63">
        <w:rPr>
          <w:sz w:val="28"/>
          <w:szCs w:val="28"/>
        </w:rPr>
        <w:t xml:space="preserve">being conducted through </w:t>
      </w:r>
      <w:r w:rsidR="00AD4F9D" w:rsidRPr="004A4D63">
        <w:rPr>
          <w:sz w:val="28"/>
          <w:szCs w:val="28"/>
        </w:rPr>
        <w:t>internal agency adjudication,</w:t>
      </w:r>
      <w:r w:rsidRPr="004A4D63">
        <w:rPr>
          <w:rStyle w:val="FootnoteReference"/>
          <w:sz w:val="28"/>
          <w:szCs w:val="28"/>
        </w:rPr>
        <w:footnoteReference w:id="216"/>
      </w:r>
      <w:r w:rsidR="00AD4F9D" w:rsidRPr="004A4D63">
        <w:rPr>
          <w:sz w:val="28"/>
          <w:szCs w:val="28"/>
        </w:rPr>
        <w:t xml:space="preserve"> </w:t>
      </w:r>
      <w:r w:rsidR="00010109" w:rsidRPr="004A4D63">
        <w:rPr>
          <w:sz w:val="28"/>
          <w:szCs w:val="28"/>
        </w:rPr>
        <w:t xml:space="preserve">or that a target would have the right to remove an administrative enforcement case to federal court </w:t>
      </w:r>
      <w:r w:rsidR="00000C95" w:rsidRPr="004A4D63">
        <w:rPr>
          <w:sz w:val="28"/>
          <w:szCs w:val="28"/>
        </w:rPr>
        <w:t>(</w:t>
      </w:r>
      <w:r w:rsidR="00010109" w:rsidRPr="004A4D63">
        <w:rPr>
          <w:sz w:val="28"/>
          <w:szCs w:val="28"/>
        </w:rPr>
        <w:t>as occurs in the case of FERC</w:t>
      </w:r>
      <w:r w:rsidR="00010109" w:rsidRPr="004A4D63">
        <w:rPr>
          <w:rStyle w:val="FootnoteReference"/>
          <w:sz w:val="28"/>
          <w:szCs w:val="28"/>
        </w:rPr>
        <w:footnoteReference w:id="217"/>
      </w:r>
      <w:r w:rsidR="00000C95" w:rsidRPr="004A4D63">
        <w:rPr>
          <w:sz w:val="28"/>
          <w:szCs w:val="28"/>
        </w:rPr>
        <w:t>)</w:t>
      </w:r>
      <w:r w:rsidR="00010109" w:rsidRPr="004A4D63">
        <w:rPr>
          <w:sz w:val="28"/>
          <w:szCs w:val="28"/>
        </w:rPr>
        <w:t xml:space="preserve"> </w:t>
      </w:r>
      <w:r w:rsidR="009A4FE2" w:rsidRPr="004A4D63">
        <w:rPr>
          <w:sz w:val="28"/>
          <w:szCs w:val="28"/>
        </w:rPr>
        <w:t>or that the agency must bring a de novo federal court action to collect a civil penalty</w:t>
      </w:r>
      <w:r w:rsidR="00000C95" w:rsidRPr="004A4D63">
        <w:rPr>
          <w:sz w:val="28"/>
          <w:szCs w:val="28"/>
        </w:rPr>
        <w:t xml:space="preserve"> (</w:t>
      </w:r>
      <w:r w:rsidR="009A4FE2" w:rsidRPr="004A4D63">
        <w:rPr>
          <w:sz w:val="28"/>
          <w:szCs w:val="28"/>
        </w:rPr>
        <w:t>as in the case of the FCC</w:t>
      </w:r>
      <w:r w:rsidR="00000C95" w:rsidRPr="004A4D63">
        <w:rPr>
          <w:sz w:val="28"/>
          <w:szCs w:val="28"/>
        </w:rPr>
        <w:t>)</w:t>
      </w:r>
      <w:r w:rsidRPr="004A4D63">
        <w:rPr>
          <w:sz w:val="28"/>
          <w:szCs w:val="28"/>
        </w:rPr>
        <w:t>.</w:t>
      </w:r>
      <w:r w:rsidR="009A4FE2" w:rsidRPr="004A4D63">
        <w:rPr>
          <w:rStyle w:val="FootnoteReference"/>
          <w:sz w:val="28"/>
          <w:szCs w:val="28"/>
        </w:rPr>
        <w:footnoteReference w:id="218"/>
      </w:r>
      <w:r w:rsidR="00010109" w:rsidRPr="004A4D63">
        <w:rPr>
          <w:sz w:val="28"/>
          <w:szCs w:val="28"/>
        </w:rPr>
        <w:t xml:space="preserve"> </w:t>
      </w:r>
    </w:p>
    <w:p w14:paraId="47739DBF" w14:textId="1C567CBA" w:rsidR="00010109" w:rsidRPr="004A4D63" w:rsidRDefault="00010109" w:rsidP="0065383A">
      <w:pPr>
        <w:spacing w:line="480" w:lineRule="auto"/>
        <w:rPr>
          <w:sz w:val="28"/>
          <w:szCs w:val="28"/>
        </w:rPr>
      </w:pPr>
      <w:r w:rsidRPr="004A4D63">
        <w:rPr>
          <w:sz w:val="28"/>
          <w:szCs w:val="28"/>
        </w:rPr>
        <w:tab/>
        <w:t xml:space="preserve">Another </w:t>
      </w:r>
      <w:r w:rsidR="00A44F2A" w:rsidRPr="004A4D63">
        <w:rPr>
          <w:sz w:val="28"/>
          <w:szCs w:val="28"/>
        </w:rPr>
        <w:t xml:space="preserve">set of </w:t>
      </w:r>
      <w:r w:rsidRPr="004A4D63">
        <w:rPr>
          <w:sz w:val="28"/>
          <w:szCs w:val="28"/>
        </w:rPr>
        <w:t>option</w:t>
      </w:r>
      <w:r w:rsidR="00A44F2A" w:rsidRPr="004A4D63">
        <w:rPr>
          <w:sz w:val="28"/>
          <w:szCs w:val="28"/>
        </w:rPr>
        <w:t>s</w:t>
      </w:r>
      <w:r w:rsidRPr="004A4D63">
        <w:rPr>
          <w:sz w:val="28"/>
          <w:szCs w:val="28"/>
        </w:rPr>
        <w:t>, often referred to as external separation of functions, calls for creation of an adjudicatory tribunal, as is common in Commonwealth countries</w:t>
      </w:r>
      <w:r w:rsidR="00A44F2A" w:rsidRPr="004A4D63">
        <w:rPr>
          <w:sz w:val="28"/>
          <w:szCs w:val="28"/>
        </w:rPr>
        <w:t>, either for specific agencies (as in Canada) or for all enforcement agencies (as in Australia and the UK).</w:t>
      </w:r>
      <w:r w:rsidR="005A2B94" w:rsidRPr="004A4D63">
        <w:rPr>
          <w:rStyle w:val="FootnoteReference"/>
          <w:sz w:val="28"/>
          <w:szCs w:val="28"/>
        </w:rPr>
        <w:footnoteReference w:id="219"/>
      </w:r>
      <w:r w:rsidR="00A44F2A" w:rsidRPr="004A4D63">
        <w:rPr>
          <w:sz w:val="28"/>
          <w:szCs w:val="28"/>
        </w:rPr>
        <w:t xml:space="preserve">  Under th</w:t>
      </w:r>
      <w:r w:rsidR="008F6202" w:rsidRPr="004A4D63">
        <w:rPr>
          <w:sz w:val="28"/>
          <w:szCs w:val="28"/>
        </w:rPr>
        <w:t xml:space="preserve">e tribunal </w:t>
      </w:r>
      <w:r w:rsidR="00A44F2A" w:rsidRPr="004A4D63">
        <w:rPr>
          <w:sz w:val="28"/>
          <w:szCs w:val="28"/>
        </w:rPr>
        <w:t xml:space="preserve">model, </w:t>
      </w:r>
      <w:r w:rsidR="008F6202" w:rsidRPr="004A4D63">
        <w:rPr>
          <w:sz w:val="28"/>
          <w:szCs w:val="28"/>
        </w:rPr>
        <w:t xml:space="preserve">an </w:t>
      </w:r>
      <w:r w:rsidRPr="004A4D63">
        <w:rPr>
          <w:sz w:val="28"/>
          <w:szCs w:val="28"/>
        </w:rPr>
        <w:lastRenderedPageBreak/>
        <w:t>enforcement agency engages in rulemaking</w:t>
      </w:r>
      <w:r w:rsidR="008F6202" w:rsidRPr="004A4D63">
        <w:rPr>
          <w:sz w:val="28"/>
          <w:szCs w:val="28"/>
        </w:rPr>
        <w:t>, investigation</w:t>
      </w:r>
      <w:r w:rsidRPr="004A4D63">
        <w:rPr>
          <w:sz w:val="28"/>
          <w:szCs w:val="28"/>
        </w:rPr>
        <w:t xml:space="preserve"> and prosecution, but </w:t>
      </w:r>
      <w:r w:rsidR="00E65649" w:rsidRPr="004A4D63">
        <w:rPr>
          <w:sz w:val="28"/>
          <w:szCs w:val="28"/>
        </w:rPr>
        <w:t>a separate agency makes the resulting adjudicatory decision.</w:t>
      </w:r>
      <w:r w:rsidRPr="004A4D63">
        <w:rPr>
          <w:sz w:val="28"/>
          <w:szCs w:val="28"/>
        </w:rPr>
        <w:t xml:space="preserve"> </w:t>
      </w:r>
      <w:r w:rsidR="008F6202" w:rsidRPr="004A4D63">
        <w:rPr>
          <w:sz w:val="28"/>
          <w:szCs w:val="28"/>
        </w:rPr>
        <w:t xml:space="preserve">The U.S. employs tribunals </w:t>
      </w:r>
      <w:r w:rsidRPr="004A4D63">
        <w:rPr>
          <w:sz w:val="28"/>
          <w:szCs w:val="28"/>
        </w:rPr>
        <w:t>in cases involving worker safety, mining safety, and federal taxation</w:t>
      </w:r>
      <w:r w:rsidR="00F96C06">
        <w:rPr>
          <w:sz w:val="28"/>
          <w:szCs w:val="28"/>
        </w:rPr>
        <w:t xml:space="preserve">.  Many states situate adjudication in separate tribunals in their </w:t>
      </w:r>
      <w:r w:rsidR="005A2B94" w:rsidRPr="004A4D63">
        <w:rPr>
          <w:sz w:val="28"/>
          <w:szCs w:val="28"/>
        </w:rPr>
        <w:t>unemployment compensation and workers compensation systems</w:t>
      </w:r>
      <w:r w:rsidRPr="004A4D63">
        <w:rPr>
          <w:sz w:val="28"/>
          <w:szCs w:val="28"/>
        </w:rPr>
        <w:t>.</w:t>
      </w:r>
      <w:r w:rsidRPr="004A4D63">
        <w:rPr>
          <w:rStyle w:val="FootnoteReference"/>
          <w:sz w:val="28"/>
          <w:szCs w:val="28"/>
        </w:rPr>
        <w:footnoteReference w:id="220"/>
      </w:r>
      <w:r w:rsidRPr="004A4D63">
        <w:rPr>
          <w:sz w:val="28"/>
          <w:szCs w:val="28"/>
        </w:rPr>
        <w:t xml:space="preserve">  </w:t>
      </w:r>
    </w:p>
    <w:p w14:paraId="5A67823B" w14:textId="122EC363" w:rsidR="0006125F" w:rsidRPr="004A4D63" w:rsidRDefault="00010109" w:rsidP="0073256E">
      <w:pPr>
        <w:spacing w:line="480" w:lineRule="auto"/>
        <w:rPr>
          <w:sz w:val="28"/>
          <w:szCs w:val="28"/>
        </w:rPr>
      </w:pPr>
      <w:r w:rsidRPr="004A4D63">
        <w:rPr>
          <w:sz w:val="28"/>
          <w:szCs w:val="28"/>
        </w:rPr>
        <w:tab/>
        <w:t xml:space="preserve">Still another approach is delegation of the internal appeal function to an appellate review board </w:t>
      </w:r>
      <w:r w:rsidR="005D5B18" w:rsidRPr="004A4D63">
        <w:rPr>
          <w:sz w:val="28"/>
          <w:szCs w:val="28"/>
        </w:rPr>
        <w:t>(such as the Environmental Appeals Board</w:t>
      </w:r>
      <w:r w:rsidR="00E65649" w:rsidRPr="004A4D63">
        <w:rPr>
          <w:rStyle w:val="FootnoteReference"/>
          <w:sz w:val="28"/>
          <w:szCs w:val="28"/>
        </w:rPr>
        <w:footnoteReference w:id="221"/>
      </w:r>
      <w:r w:rsidR="005D5B18" w:rsidRPr="004A4D63">
        <w:rPr>
          <w:sz w:val="28"/>
          <w:szCs w:val="28"/>
        </w:rPr>
        <w:t xml:space="preserve">) </w:t>
      </w:r>
      <w:r w:rsidRPr="004A4D63">
        <w:rPr>
          <w:sz w:val="28"/>
          <w:szCs w:val="28"/>
        </w:rPr>
        <w:t>or a judicial officer</w:t>
      </w:r>
      <w:r w:rsidR="005D5B18" w:rsidRPr="004A4D63">
        <w:rPr>
          <w:sz w:val="28"/>
          <w:szCs w:val="28"/>
        </w:rPr>
        <w:t xml:space="preserve"> (as occurs in the Department of Agriculture</w:t>
      </w:r>
      <w:r w:rsidR="0050025A" w:rsidRPr="004A4D63">
        <w:rPr>
          <w:rStyle w:val="FootnoteReference"/>
          <w:sz w:val="28"/>
          <w:szCs w:val="28"/>
        </w:rPr>
        <w:footnoteReference w:id="222"/>
      </w:r>
      <w:r w:rsidR="005D5B18" w:rsidRPr="004A4D63">
        <w:rPr>
          <w:sz w:val="28"/>
          <w:szCs w:val="28"/>
        </w:rPr>
        <w:t xml:space="preserve">). </w:t>
      </w:r>
      <w:r w:rsidRPr="004A4D63">
        <w:rPr>
          <w:sz w:val="28"/>
          <w:szCs w:val="28"/>
        </w:rPr>
        <w:t xml:space="preserve">The delegation could cover certain classes of cases that are likely to present only factual issues or it could cover all </w:t>
      </w:r>
      <w:r w:rsidR="00AD4F9D" w:rsidRPr="004A4D63">
        <w:rPr>
          <w:sz w:val="28"/>
          <w:szCs w:val="28"/>
        </w:rPr>
        <w:t xml:space="preserve">enforcement </w:t>
      </w:r>
      <w:r w:rsidRPr="004A4D63">
        <w:rPr>
          <w:sz w:val="28"/>
          <w:szCs w:val="28"/>
        </w:rPr>
        <w:t xml:space="preserve">cases. The agency heads </w:t>
      </w:r>
      <w:r w:rsidR="0050025A" w:rsidRPr="004A4D63">
        <w:rPr>
          <w:sz w:val="28"/>
          <w:szCs w:val="28"/>
        </w:rPr>
        <w:t xml:space="preserve">might </w:t>
      </w:r>
      <w:r w:rsidRPr="004A4D63">
        <w:rPr>
          <w:sz w:val="28"/>
          <w:szCs w:val="28"/>
        </w:rPr>
        <w:t>retain discretionary review power over decisions of the intermediate review board or judicial officer in cases presenting important policy issues.</w:t>
      </w:r>
      <w:r w:rsidRPr="004A4D63">
        <w:rPr>
          <w:rStyle w:val="FootnoteReference"/>
          <w:sz w:val="28"/>
          <w:szCs w:val="28"/>
        </w:rPr>
        <w:footnoteReference w:id="223"/>
      </w:r>
      <w:r w:rsidRPr="004A4D63">
        <w:rPr>
          <w:sz w:val="28"/>
          <w:szCs w:val="28"/>
        </w:rPr>
        <w:t xml:space="preserve"> Delegations of final decisional authority are quite common in the administrative state</w:t>
      </w:r>
      <w:r w:rsidRPr="004A4D63">
        <w:rPr>
          <w:rStyle w:val="FootnoteReference"/>
          <w:sz w:val="28"/>
          <w:szCs w:val="28"/>
        </w:rPr>
        <w:footnoteReference w:id="224"/>
      </w:r>
      <w:r w:rsidRPr="004A4D63">
        <w:rPr>
          <w:sz w:val="28"/>
          <w:szCs w:val="28"/>
        </w:rPr>
        <w:t xml:space="preserve"> and might be attractive for agencies </w:t>
      </w:r>
      <w:r w:rsidRPr="004A4D63">
        <w:rPr>
          <w:sz w:val="28"/>
          <w:szCs w:val="28"/>
        </w:rPr>
        <w:lastRenderedPageBreak/>
        <w:t xml:space="preserve">with substantial caseloads or serious backlogs at the agency head level. Delegation </w:t>
      </w:r>
      <w:r w:rsidR="00AD4F9D" w:rsidRPr="004A4D63">
        <w:rPr>
          <w:sz w:val="28"/>
          <w:szCs w:val="28"/>
        </w:rPr>
        <w:t xml:space="preserve">of the </w:t>
      </w:r>
      <w:r w:rsidR="0050025A" w:rsidRPr="004A4D63">
        <w:rPr>
          <w:sz w:val="28"/>
          <w:szCs w:val="28"/>
        </w:rPr>
        <w:t xml:space="preserve">power to make the final </w:t>
      </w:r>
      <w:r w:rsidR="00AD4F9D" w:rsidRPr="004A4D63">
        <w:rPr>
          <w:sz w:val="28"/>
          <w:szCs w:val="28"/>
        </w:rPr>
        <w:t xml:space="preserve">adjudicatory </w:t>
      </w:r>
      <w:r w:rsidR="0050025A" w:rsidRPr="004A4D63">
        <w:rPr>
          <w:sz w:val="28"/>
          <w:szCs w:val="28"/>
        </w:rPr>
        <w:t xml:space="preserve">decision </w:t>
      </w:r>
      <w:r w:rsidRPr="004A4D63">
        <w:rPr>
          <w:sz w:val="28"/>
          <w:szCs w:val="28"/>
        </w:rPr>
        <w:t>would promote efficient use of the limited time of the agency heads and reduce delays in making final decisions</w:t>
      </w:r>
      <w:r w:rsidR="00B81632">
        <w:rPr>
          <w:sz w:val="28"/>
          <w:szCs w:val="28"/>
        </w:rPr>
        <w:t xml:space="preserve">.  Such delegation would also </w:t>
      </w:r>
      <w:r w:rsidRPr="004A4D63">
        <w:rPr>
          <w:sz w:val="28"/>
          <w:szCs w:val="28"/>
        </w:rPr>
        <w:t xml:space="preserve">limit the number of cases subject to potential confirmation bias.  </w:t>
      </w:r>
      <w:r w:rsidR="00A44F2A" w:rsidRPr="004A4D63">
        <w:rPr>
          <w:sz w:val="28"/>
          <w:szCs w:val="28"/>
        </w:rPr>
        <w:t xml:space="preserve">  </w:t>
      </w:r>
      <w:r w:rsidR="005D5B18" w:rsidRPr="004A4D63">
        <w:rPr>
          <w:sz w:val="28"/>
          <w:szCs w:val="28"/>
        </w:rPr>
        <w:t xml:space="preserve"> </w:t>
      </w:r>
    </w:p>
    <w:p w14:paraId="0070C9F0" w14:textId="5C386C1C" w:rsidR="00AC5386" w:rsidRPr="004A4D63" w:rsidRDefault="009A4DE2" w:rsidP="0065383A">
      <w:pPr>
        <w:spacing w:line="480" w:lineRule="auto"/>
        <w:jc w:val="center"/>
        <w:rPr>
          <w:b/>
          <w:bCs/>
          <w:sz w:val="28"/>
          <w:szCs w:val="28"/>
        </w:rPr>
      </w:pPr>
      <w:r w:rsidRPr="004A4D63">
        <w:rPr>
          <w:b/>
          <w:bCs/>
          <w:sz w:val="28"/>
          <w:szCs w:val="28"/>
        </w:rPr>
        <w:t>V</w:t>
      </w:r>
      <w:r w:rsidR="000C79ED" w:rsidRPr="004A4D63">
        <w:rPr>
          <w:b/>
          <w:bCs/>
          <w:sz w:val="28"/>
          <w:szCs w:val="28"/>
        </w:rPr>
        <w:t xml:space="preserve">I.  </w:t>
      </w:r>
      <w:r w:rsidR="00BE16D9" w:rsidRPr="004A4D63">
        <w:rPr>
          <w:b/>
          <w:bCs/>
          <w:sz w:val="28"/>
          <w:szCs w:val="28"/>
        </w:rPr>
        <w:t xml:space="preserve"> </w:t>
      </w:r>
      <w:r w:rsidR="00850E89" w:rsidRPr="004A4D63">
        <w:rPr>
          <w:b/>
          <w:bCs/>
          <w:sz w:val="28"/>
          <w:szCs w:val="28"/>
        </w:rPr>
        <w:t>CONCLUSION</w:t>
      </w:r>
    </w:p>
    <w:p w14:paraId="0C1D77B9" w14:textId="0D80DC0E" w:rsidR="00D855D0" w:rsidRPr="004A4D63" w:rsidRDefault="00AC5386" w:rsidP="0065383A">
      <w:pPr>
        <w:spacing w:line="480" w:lineRule="auto"/>
        <w:rPr>
          <w:sz w:val="28"/>
          <w:szCs w:val="28"/>
        </w:rPr>
      </w:pPr>
      <w:r w:rsidRPr="004A4D63">
        <w:rPr>
          <w:sz w:val="28"/>
          <w:szCs w:val="28"/>
        </w:rPr>
        <w:t xml:space="preserve">          </w:t>
      </w:r>
      <w:r w:rsidR="009E75BD" w:rsidRPr="004A4D63">
        <w:rPr>
          <w:sz w:val="28"/>
          <w:szCs w:val="28"/>
        </w:rPr>
        <w:t>C</w:t>
      </w:r>
      <w:r w:rsidRPr="004A4D63">
        <w:rPr>
          <w:sz w:val="28"/>
          <w:szCs w:val="28"/>
        </w:rPr>
        <w:t xml:space="preserve">ombined-function enforcement agencies should engage in greenlighting if their caseload permits them to do so. Greenlighting means that the agency head (including all of the heads of a multiple-member agency) should </w:t>
      </w:r>
      <w:r w:rsidR="00B81632">
        <w:rPr>
          <w:sz w:val="28"/>
          <w:szCs w:val="28"/>
        </w:rPr>
        <w:t xml:space="preserve">be responsible for the decision of </w:t>
      </w:r>
      <w:r w:rsidRPr="004A4D63">
        <w:rPr>
          <w:sz w:val="28"/>
          <w:szCs w:val="28"/>
        </w:rPr>
        <w:t>whether to approve charging decisions made by the staff. Agency head approval of charging decisions assures that the choice of enforcement targets aligns with the priorities of the agency head and is a wise allocation of scarce enforcement resources.</w:t>
      </w:r>
      <w:r w:rsidR="009E75BD" w:rsidRPr="004A4D63">
        <w:rPr>
          <w:sz w:val="28"/>
          <w:szCs w:val="28"/>
        </w:rPr>
        <w:t xml:space="preserve">  Greenlighting is a powerful accountability mechanism to control the exercise of prosecutorial discretion—a problem that pervades the world of criminal </w:t>
      </w:r>
      <w:r w:rsidR="00B81632">
        <w:rPr>
          <w:sz w:val="28"/>
          <w:szCs w:val="28"/>
        </w:rPr>
        <w:t xml:space="preserve">and administrative </w:t>
      </w:r>
      <w:r w:rsidR="009E75BD" w:rsidRPr="004A4D63">
        <w:rPr>
          <w:sz w:val="28"/>
          <w:szCs w:val="28"/>
        </w:rPr>
        <w:t xml:space="preserve">prosecution. </w:t>
      </w:r>
      <w:r w:rsidRPr="004A4D63">
        <w:rPr>
          <w:sz w:val="28"/>
          <w:szCs w:val="28"/>
        </w:rPr>
        <w:t xml:space="preserve"> </w:t>
      </w:r>
      <w:r w:rsidR="009A4DE2" w:rsidRPr="004A4D63">
        <w:rPr>
          <w:sz w:val="28"/>
          <w:szCs w:val="28"/>
        </w:rPr>
        <w:tab/>
      </w:r>
    </w:p>
    <w:p w14:paraId="6731E907" w14:textId="3CA9C706" w:rsidR="00F045CB" w:rsidRPr="004A4D63" w:rsidRDefault="00D855D0" w:rsidP="0065383A">
      <w:pPr>
        <w:spacing w:line="480" w:lineRule="auto"/>
        <w:rPr>
          <w:sz w:val="28"/>
          <w:szCs w:val="28"/>
        </w:rPr>
      </w:pPr>
      <w:r w:rsidRPr="004A4D63">
        <w:rPr>
          <w:sz w:val="28"/>
          <w:szCs w:val="28"/>
        </w:rPr>
        <w:tab/>
      </w:r>
      <w:r w:rsidR="009E75BD" w:rsidRPr="004A4D63">
        <w:rPr>
          <w:sz w:val="28"/>
          <w:szCs w:val="28"/>
        </w:rPr>
        <w:t>A</w:t>
      </w:r>
      <w:r w:rsidRPr="004A4D63">
        <w:rPr>
          <w:sz w:val="28"/>
          <w:szCs w:val="28"/>
        </w:rPr>
        <w:t>gencies engaged in greenlighting should requir</w:t>
      </w:r>
      <w:r w:rsidR="00AC5386" w:rsidRPr="004A4D63">
        <w:rPr>
          <w:sz w:val="28"/>
          <w:szCs w:val="28"/>
        </w:rPr>
        <w:t>e the staff to engage in a</w:t>
      </w:r>
      <w:r w:rsidRPr="004A4D63">
        <w:rPr>
          <w:sz w:val="28"/>
          <w:szCs w:val="28"/>
        </w:rPr>
        <w:t xml:space="preserve"> structured written notice and comment process</w:t>
      </w:r>
      <w:r w:rsidR="00AC5386" w:rsidRPr="004A4D63">
        <w:rPr>
          <w:sz w:val="28"/>
          <w:szCs w:val="28"/>
        </w:rPr>
        <w:t>,</w:t>
      </w:r>
      <w:r w:rsidRPr="004A4D63">
        <w:rPr>
          <w:sz w:val="28"/>
          <w:szCs w:val="28"/>
        </w:rPr>
        <w:t xml:space="preserve"> whereby targets can try to persuade the staff not to charge.  In addition, when the staff seeks agency </w:t>
      </w:r>
      <w:r w:rsidR="00C40B82" w:rsidRPr="004A4D63">
        <w:rPr>
          <w:sz w:val="28"/>
          <w:szCs w:val="28"/>
        </w:rPr>
        <w:t xml:space="preserve">member </w:t>
      </w:r>
      <w:r w:rsidRPr="004A4D63">
        <w:rPr>
          <w:sz w:val="28"/>
          <w:szCs w:val="28"/>
        </w:rPr>
        <w:t xml:space="preserve">approval of a charging decision, it </w:t>
      </w:r>
      <w:r w:rsidR="001E0D78" w:rsidRPr="004A4D63">
        <w:rPr>
          <w:sz w:val="28"/>
          <w:szCs w:val="28"/>
        </w:rPr>
        <w:t xml:space="preserve">should generate a </w:t>
      </w:r>
      <w:r w:rsidR="00BA4E10" w:rsidRPr="004A4D63">
        <w:rPr>
          <w:sz w:val="28"/>
          <w:szCs w:val="28"/>
        </w:rPr>
        <w:t xml:space="preserve">detailed </w:t>
      </w:r>
      <w:r w:rsidR="001E0D78" w:rsidRPr="004A4D63">
        <w:rPr>
          <w:sz w:val="28"/>
          <w:szCs w:val="28"/>
        </w:rPr>
        <w:t xml:space="preserve">memorandum to the </w:t>
      </w:r>
      <w:r w:rsidR="00C40B82" w:rsidRPr="004A4D63">
        <w:rPr>
          <w:sz w:val="28"/>
          <w:szCs w:val="28"/>
        </w:rPr>
        <w:t xml:space="preserve">members </w:t>
      </w:r>
      <w:r w:rsidR="001E0D78" w:rsidRPr="004A4D63">
        <w:rPr>
          <w:sz w:val="28"/>
          <w:szCs w:val="28"/>
        </w:rPr>
        <w:lastRenderedPageBreak/>
        <w:t>setting forth the facts uncovered by the investigation and applicable legal analysis to assist the</w:t>
      </w:r>
      <w:r w:rsidR="00C40B82" w:rsidRPr="004A4D63">
        <w:rPr>
          <w:sz w:val="28"/>
          <w:szCs w:val="28"/>
        </w:rPr>
        <w:t>m</w:t>
      </w:r>
      <w:r w:rsidR="001E0D78" w:rsidRPr="004A4D63">
        <w:rPr>
          <w:sz w:val="28"/>
          <w:szCs w:val="28"/>
        </w:rPr>
        <w:t xml:space="preserve"> in deciding whether to approve a charging decision or settlement. </w:t>
      </w:r>
      <w:r w:rsidR="00BA4E10" w:rsidRPr="004A4D63">
        <w:rPr>
          <w:sz w:val="28"/>
          <w:szCs w:val="28"/>
        </w:rPr>
        <w:t xml:space="preserve"> </w:t>
      </w:r>
      <w:r w:rsidR="000D0453" w:rsidRPr="004A4D63">
        <w:rPr>
          <w:sz w:val="28"/>
          <w:szCs w:val="28"/>
        </w:rPr>
        <w:tab/>
        <w:t xml:space="preserve">  </w:t>
      </w:r>
    </w:p>
    <w:p w14:paraId="7EB73ED0" w14:textId="2DF4DF31" w:rsidR="00C303E8" w:rsidRPr="004A4D63" w:rsidRDefault="00D855D0" w:rsidP="00772ECF">
      <w:pPr>
        <w:spacing w:line="480" w:lineRule="auto"/>
        <w:ind w:firstLine="720"/>
        <w:rPr>
          <w:sz w:val="28"/>
          <w:szCs w:val="28"/>
        </w:rPr>
      </w:pPr>
      <w:r w:rsidRPr="004A4D63">
        <w:rPr>
          <w:sz w:val="28"/>
          <w:szCs w:val="28"/>
        </w:rPr>
        <w:t xml:space="preserve">Because greenlighting may present problems of confirmation bias and inefficiency, agencies </w:t>
      </w:r>
      <w:r w:rsidR="00D820E5" w:rsidRPr="004A4D63">
        <w:rPr>
          <w:sz w:val="28"/>
          <w:szCs w:val="28"/>
        </w:rPr>
        <w:t xml:space="preserve">should </w:t>
      </w:r>
      <w:r w:rsidRPr="004A4D63">
        <w:rPr>
          <w:sz w:val="28"/>
          <w:szCs w:val="28"/>
        </w:rPr>
        <w:t>consider whether their enforcement docket includes classes of cases that are sufficiently routine that the charging decision can be delegated to the staff</w:t>
      </w:r>
      <w:r w:rsidR="0050025A" w:rsidRPr="004A4D63">
        <w:rPr>
          <w:sz w:val="28"/>
          <w:szCs w:val="28"/>
        </w:rPr>
        <w:t xml:space="preserve"> or that the final adjudicatory decision could be delegated to a judicial officer o</w:t>
      </w:r>
      <w:r w:rsidR="00AF2D00">
        <w:rPr>
          <w:sz w:val="28"/>
          <w:szCs w:val="28"/>
        </w:rPr>
        <w:t>r</w:t>
      </w:r>
      <w:r w:rsidR="0050025A" w:rsidRPr="004A4D63">
        <w:rPr>
          <w:sz w:val="28"/>
          <w:szCs w:val="28"/>
        </w:rPr>
        <w:t xml:space="preserve"> a review board.</w:t>
      </w:r>
      <w:r w:rsidRPr="004A4D63">
        <w:rPr>
          <w:sz w:val="28"/>
          <w:szCs w:val="28"/>
        </w:rPr>
        <w:t xml:space="preserve">  And agencies should consider adoption of guidelines that set forth priorities for exercising its prosecutorial discretion</w:t>
      </w:r>
      <w:r w:rsidR="000C0151">
        <w:rPr>
          <w:sz w:val="28"/>
          <w:szCs w:val="28"/>
        </w:rPr>
        <w:t xml:space="preserve"> and institution of a peer review process at the staff level. </w:t>
      </w:r>
      <w:r w:rsidRPr="004A4D63">
        <w:rPr>
          <w:sz w:val="28"/>
          <w:szCs w:val="28"/>
        </w:rPr>
        <w:t xml:space="preserve"> </w:t>
      </w:r>
      <w:r w:rsidR="00AC5386" w:rsidRPr="004A4D63">
        <w:rPr>
          <w:sz w:val="28"/>
          <w:szCs w:val="28"/>
        </w:rPr>
        <w:t xml:space="preserve">With these refinements, </w:t>
      </w:r>
      <w:r w:rsidR="00E253D2" w:rsidRPr="004A4D63">
        <w:rPr>
          <w:sz w:val="28"/>
          <w:szCs w:val="28"/>
        </w:rPr>
        <w:t xml:space="preserve">combined-function </w:t>
      </w:r>
      <w:r w:rsidR="00AC5386" w:rsidRPr="004A4D63">
        <w:rPr>
          <w:sz w:val="28"/>
          <w:szCs w:val="28"/>
        </w:rPr>
        <w:t xml:space="preserve">agencies should continue to </w:t>
      </w:r>
      <w:r w:rsidR="00E253D2" w:rsidRPr="004A4D63">
        <w:rPr>
          <w:sz w:val="28"/>
          <w:szCs w:val="28"/>
        </w:rPr>
        <w:t xml:space="preserve">employ the </w:t>
      </w:r>
      <w:r w:rsidR="00AC5386" w:rsidRPr="004A4D63">
        <w:rPr>
          <w:sz w:val="28"/>
          <w:szCs w:val="28"/>
        </w:rPr>
        <w:t xml:space="preserve">greenlighting </w:t>
      </w:r>
      <w:r w:rsidR="00E253D2" w:rsidRPr="004A4D63">
        <w:rPr>
          <w:sz w:val="28"/>
          <w:szCs w:val="28"/>
        </w:rPr>
        <w:t xml:space="preserve">process </w:t>
      </w:r>
      <w:r w:rsidR="00AC5386" w:rsidRPr="004A4D63">
        <w:rPr>
          <w:sz w:val="28"/>
          <w:szCs w:val="28"/>
        </w:rPr>
        <w:t xml:space="preserve">when it is practicable to do so. </w:t>
      </w:r>
      <w:r w:rsidR="00912962" w:rsidRPr="004A4D63">
        <w:rPr>
          <w:sz w:val="28"/>
          <w:szCs w:val="28"/>
        </w:rPr>
        <w:tab/>
      </w:r>
      <w:r w:rsidR="00EC1F31" w:rsidRPr="004A4D63">
        <w:rPr>
          <w:sz w:val="28"/>
          <w:szCs w:val="28"/>
        </w:rPr>
        <w:t xml:space="preserve">  </w:t>
      </w:r>
    </w:p>
    <w:p w14:paraId="1131FE78" w14:textId="45FC0C13" w:rsidR="00C303E8" w:rsidRPr="004A4D63" w:rsidRDefault="00C303E8" w:rsidP="0065383A">
      <w:pPr>
        <w:spacing w:line="480" w:lineRule="auto"/>
        <w:rPr>
          <w:sz w:val="28"/>
          <w:szCs w:val="28"/>
        </w:rPr>
      </w:pPr>
      <w:r w:rsidRPr="004A4D63">
        <w:rPr>
          <w:sz w:val="28"/>
          <w:szCs w:val="28"/>
        </w:rPr>
        <w:tab/>
      </w:r>
    </w:p>
    <w:p w14:paraId="71B1D24A" w14:textId="4DDD43A3" w:rsidR="00582528" w:rsidRPr="004A4D63" w:rsidRDefault="00582528" w:rsidP="0065383A">
      <w:pPr>
        <w:spacing w:line="480" w:lineRule="auto"/>
        <w:jc w:val="center"/>
        <w:rPr>
          <w:sz w:val="28"/>
          <w:szCs w:val="28"/>
        </w:rPr>
      </w:pPr>
    </w:p>
    <w:p w14:paraId="6BEF4A55" w14:textId="77777777" w:rsidR="00E1434E" w:rsidRPr="004A4D63" w:rsidRDefault="00E1434E" w:rsidP="0065383A">
      <w:pPr>
        <w:spacing w:line="480" w:lineRule="auto"/>
        <w:rPr>
          <w:sz w:val="28"/>
          <w:szCs w:val="28"/>
        </w:rPr>
      </w:pPr>
    </w:p>
    <w:p w14:paraId="6FCE0A7C" w14:textId="77777777" w:rsidR="00DE6DD2" w:rsidRPr="004A4D63" w:rsidRDefault="00DE6DD2" w:rsidP="0065383A">
      <w:pPr>
        <w:spacing w:line="480" w:lineRule="auto"/>
        <w:rPr>
          <w:sz w:val="28"/>
          <w:szCs w:val="28"/>
        </w:rPr>
      </w:pPr>
    </w:p>
    <w:p w14:paraId="50AAFAAB" w14:textId="77777777" w:rsidR="008327EF" w:rsidRPr="004A4D63" w:rsidRDefault="008327EF" w:rsidP="0065383A">
      <w:pPr>
        <w:spacing w:line="480" w:lineRule="auto"/>
        <w:rPr>
          <w:sz w:val="28"/>
          <w:szCs w:val="28"/>
        </w:rPr>
      </w:pPr>
    </w:p>
    <w:p w14:paraId="2CA7A34B" w14:textId="77777777" w:rsidR="009B577E" w:rsidRPr="004A4D63" w:rsidRDefault="009B577E" w:rsidP="0065383A">
      <w:pPr>
        <w:spacing w:line="480" w:lineRule="auto"/>
        <w:rPr>
          <w:sz w:val="28"/>
          <w:szCs w:val="28"/>
        </w:rPr>
      </w:pPr>
    </w:p>
    <w:p w14:paraId="427E3C01" w14:textId="77777777" w:rsidR="00B05F99" w:rsidRPr="004A4D63" w:rsidRDefault="00B05F99" w:rsidP="0065383A">
      <w:pPr>
        <w:spacing w:line="480" w:lineRule="auto"/>
        <w:rPr>
          <w:sz w:val="28"/>
          <w:szCs w:val="28"/>
        </w:rPr>
      </w:pPr>
    </w:p>
    <w:p w14:paraId="3A6FB795" w14:textId="77777777" w:rsidR="00257CF6" w:rsidRPr="004A4D63" w:rsidRDefault="00257CF6" w:rsidP="0065383A">
      <w:pPr>
        <w:spacing w:line="480" w:lineRule="auto"/>
        <w:rPr>
          <w:sz w:val="28"/>
          <w:szCs w:val="28"/>
        </w:rPr>
      </w:pPr>
    </w:p>
    <w:p w14:paraId="448770A8" w14:textId="77777777" w:rsidR="004A4D63" w:rsidRPr="004A4D63" w:rsidRDefault="004A4D63">
      <w:pPr>
        <w:spacing w:line="480" w:lineRule="auto"/>
        <w:rPr>
          <w:sz w:val="28"/>
          <w:szCs w:val="28"/>
        </w:rPr>
      </w:pPr>
    </w:p>
    <w:p w14:paraId="1C5B9CFD" w14:textId="77777777" w:rsidR="004A4D63" w:rsidRPr="004A4D63" w:rsidRDefault="004A4D63">
      <w:pPr>
        <w:spacing w:line="480" w:lineRule="auto"/>
        <w:rPr>
          <w:sz w:val="28"/>
          <w:szCs w:val="28"/>
        </w:rPr>
      </w:pPr>
    </w:p>
    <w:sectPr w:rsidR="004A4D63" w:rsidRPr="004A4D63" w:rsidSect="000324D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7433" w14:textId="77777777" w:rsidR="00663092" w:rsidRDefault="00663092" w:rsidP="00FC32CE">
      <w:r>
        <w:separator/>
      </w:r>
    </w:p>
  </w:endnote>
  <w:endnote w:type="continuationSeparator" w:id="0">
    <w:p w14:paraId="50C06BAE" w14:textId="77777777" w:rsidR="00663092" w:rsidRDefault="00663092" w:rsidP="00FC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545589"/>
      <w:docPartObj>
        <w:docPartGallery w:val="Page Numbers (Bottom of Page)"/>
        <w:docPartUnique/>
      </w:docPartObj>
    </w:sdtPr>
    <w:sdtEndPr>
      <w:rPr>
        <w:rStyle w:val="PageNumber"/>
      </w:rPr>
    </w:sdtEndPr>
    <w:sdtContent>
      <w:p w14:paraId="69F385D3" w14:textId="4C418CFE" w:rsidR="00274642" w:rsidRDefault="00274642" w:rsidP="00A73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502A6" w14:textId="77777777" w:rsidR="00274642" w:rsidRDefault="0027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811938"/>
      <w:docPartObj>
        <w:docPartGallery w:val="Page Numbers (Bottom of Page)"/>
        <w:docPartUnique/>
      </w:docPartObj>
    </w:sdtPr>
    <w:sdtEndPr>
      <w:rPr>
        <w:rStyle w:val="PageNumber"/>
      </w:rPr>
    </w:sdtEndPr>
    <w:sdtContent>
      <w:p w14:paraId="35FFE513" w14:textId="21A5819C" w:rsidR="00274642" w:rsidRDefault="00274642" w:rsidP="00A73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C86CBA" w14:textId="77777777" w:rsidR="00274642" w:rsidRDefault="0027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D89F" w14:textId="77777777" w:rsidR="00663092" w:rsidRDefault="00663092" w:rsidP="00FC32CE">
      <w:r>
        <w:separator/>
      </w:r>
    </w:p>
  </w:footnote>
  <w:footnote w:type="continuationSeparator" w:id="0">
    <w:p w14:paraId="7259F61D" w14:textId="77777777" w:rsidR="00663092" w:rsidRDefault="00663092" w:rsidP="00FC32CE">
      <w:r>
        <w:continuationSeparator/>
      </w:r>
    </w:p>
  </w:footnote>
  <w:footnote w:id="1">
    <w:p w14:paraId="27B18657" w14:textId="77777777" w:rsidR="009A176A" w:rsidRPr="00F96C06" w:rsidRDefault="009A176A">
      <w:pPr>
        <w:pStyle w:val="FootnoteText"/>
        <w:rPr>
          <w:rFonts w:ascii="Times New Roman" w:hAnsi="Times New Roman" w:cs="Times New Roman"/>
          <w:sz w:val="24"/>
          <w:szCs w:val="24"/>
        </w:rPr>
      </w:pPr>
    </w:p>
    <w:p w14:paraId="298773C6" w14:textId="36888630" w:rsidR="009A176A" w:rsidRPr="00F96C06" w:rsidRDefault="009A176A" w:rsidP="009A176A">
      <w:pPr>
        <w:pStyle w:val="FootnoteText"/>
        <w:ind w:left="720"/>
        <w:rPr>
          <w:rFonts w:ascii="Times New Roman" w:hAnsi="Times New Roman" w:cs="Times New Roman"/>
          <w:sz w:val="24"/>
          <w:szCs w:val="24"/>
        </w:rPr>
      </w:pPr>
    </w:p>
    <w:p w14:paraId="14773CD4" w14:textId="20EE986A" w:rsidR="009A176A" w:rsidRPr="00F96C06" w:rsidRDefault="009A176A" w:rsidP="009A176A">
      <w:pPr>
        <w:pStyle w:val="NormalWeb"/>
        <w:shd w:val="clear" w:color="auto" w:fill="FFFFFF"/>
        <w:spacing w:before="0" w:beforeAutospacing="0" w:after="0" w:afterAutospacing="0"/>
      </w:pPr>
      <w:r w:rsidRPr="00F96C06">
        <w:t xml:space="preserve">* Professor of Law Emeritus, UCLA Law School; Dean’s Executive Professor of Law, Santa Clara Law School. This article is derived from a research report </w:t>
      </w:r>
      <w:r w:rsidR="00815ECC" w:rsidRPr="00F96C06">
        <w:t xml:space="preserve">submitted to </w:t>
      </w:r>
      <w:r w:rsidRPr="00F96C06">
        <w:t xml:space="preserve">the Administrative Conference of the United States.  See </w:t>
      </w:r>
      <w:hyperlink r:id="rId1" w:history="1">
        <w:r w:rsidRPr="00F96C06">
          <w:rPr>
            <w:rStyle w:val="Hyperlink"/>
          </w:rPr>
          <w:t>https://www.acus.gov/report/greenlighting-administrative-prosecution-checks-and-balances-charging-decisions</w:t>
        </w:r>
      </w:hyperlink>
      <w:r w:rsidRPr="00F96C06">
        <w:t>.  Many thanks to former ACUS Executive Director Matthew W</w:t>
      </w:r>
      <w:r w:rsidR="005E7D8B" w:rsidRPr="00F96C06">
        <w:t>ie</w:t>
      </w:r>
      <w:r w:rsidRPr="00F96C06">
        <w:t xml:space="preserve">ner and to Jeremy Graboyes, </w:t>
      </w:r>
      <w:r w:rsidRPr="00F96C06">
        <w:rPr>
          <w:color w:val="333333"/>
        </w:rPr>
        <w:t>ACUS Director of Public and Interagency Programs, for their assistance in preparing th</w:t>
      </w:r>
      <w:r w:rsidR="00815ECC" w:rsidRPr="00F96C06">
        <w:rPr>
          <w:color w:val="333333"/>
        </w:rPr>
        <w:t>at</w:t>
      </w:r>
      <w:r w:rsidR="00F94BD4" w:rsidRPr="00F96C06">
        <w:rPr>
          <w:color w:val="333333"/>
        </w:rPr>
        <w:t xml:space="preserve"> </w:t>
      </w:r>
      <w:r w:rsidRPr="00F96C06">
        <w:rPr>
          <w:color w:val="333333"/>
        </w:rPr>
        <w:t>report.</w:t>
      </w:r>
    </w:p>
    <w:p w14:paraId="69598CBC" w14:textId="64DA1E23" w:rsidR="009A176A" w:rsidRPr="00F96C06" w:rsidRDefault="00815ECC" w:rsidP="007F79A6">
      <w:pPr>
        <w:pStyle w:val="NormalWeb"/>
        <w:shd w:val="clear" w:color="auto" w:fill="FFFFFF"/>
        <w:spacing w:before="0" w:beforeAutospacing="0" w:after="0" w:afterAutospacing="0"/>
        <w:ind w:firstLine="720"/>
      </w:pPr>
      <w:r w:rsidRPr="00F96C06">
        <w:t>I am grateful to the interview subjects who provided the data for this article</w:t>
      </w:r>
      <w:r w:rsidR="00F94BD4" w:rsidRPr="00F96C06">
        <w:t xml:space="preserve">, whose anonymity I have protected. </w:t>
      </w:r>
      <w:r w:rsidRPr="00F96C06">
        <w:t xml:space="preserve"> See text </w:t>
      </w:r>
      <w:r w:rsidR="00D57362" w:rsidRPr="00F96C06">
        <w:t xml:space="preserve">at beginning of Part II </w:t>
      </w:r>
      <w:r w:rsidRPr="00F96C06">
        <w:t xml:space="preserve">for discussion of interview methodology. </w:t>
      </w:r>
      <w:r w:rsidR="009A176A" w:rsidRPr="00F96C06">
        <w:t xml:space="preserve">The author also thanks David Ball, David Engstrom, </w:t>
      </w:r>
      <w:r w:rsidR="00B35D58" w:rsidRPr="00F96C06">
        <w:t xml:space="preserve">Eric Goldman, </w:t>
      </w:r>
      <w:r w:rsidR="009A176A" w:rsidRPr="00F96C06">
        <w:t xml:space="preserve">Pratheepan Gulasekaram, Dan Ho, Jon Michaels, Michelle Oberman, Cathy Sandoval, </w:t>
      </w:r>
      <w:r w:rsidR="00B35D58" w:rsidRPr="00F96C06">
        <w:t xml:space="preserve">Mira Scholten, William </w:t>
      </w:r>
      <w:r w:rsidR="009A176A" w:rsidRPr="00F96C06">
        <w:t>Simon, David Sloss, and Tseming Yang for comments on this article.</w:t>
      </w:r>
    </w:p>
    <w:p w14:paraId="3376AC62" w14:textId="20C4D44C" w:rsidR="007F79A6" w:rsidRPr="00F96C06" w:rsidRDefault="00F3772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7E19B0" w:rsidRPr="00F96C06">
        <w:rPr>
          <w:rFonts w:ascii="Times New Roman" w:hAnsi="Times New Roman" w:cs="Times New Roman"/>
          <w:sz w:val="24"/>
          <w:szCs w:val="24"/>
        </w:rPr>
        <w:t xml:space="preserve">The </w:t>
      </w:r>
      <w:r w:rsidR="009A176A" w:rsidRPr="00F96C06">
        <w:rPr>
          <w:rFonts w:ascii="Times New Roman" w:hAnsi="Times New Roman" w:cs="Times New Roman"/>
          <w:sz w:val="24"/>
          <w:szCs w:val="24"/>
        </w:rPr>
        <w:t xml:space="preserve">word </w:t>
      </w:r>
      <w:r w:rsidR="007E19B0" w:rsidRPr="00F96C06">
        <w:rPr>
          <w:rFonts w:ascii="Times New Roman" w:hAnsi="Times New Roman" w:cs="Times New Roman"/>
          <w:sz w:val="24"/>
          <w:szCs w:val="24"/>
        </w:rPr>
        <w:t xml:space="preserve">”target” refers to the </w:t>
      </w:r>
      <w:r w:rsidR="009A176A" w:rsidRPr="00F96C06">
        <w:rPr>
          <w:rFonts w:ascii="Times New Roman" w:hAnsi="Times New Roman" w:cs="Times New Roman"/>
          <w:sz w:val="24"/>
          <w:szCs w:val="24"/>
        </w:rPr>
        <w:t xml:space="preserve">private-sector </w:t>
      </w:r>
      <w:r w:rsidR="007E19B0" w:rsidRPr="00F96C06">
        <w:rPr>
          <w:rFonts w:ascii="Times New Roman" w:hAnsi="Times New Roman" w:cs="Times New Roman"/>
          <w:sz w:val="24"/>
          <w:szCs w:val="24"/>
        </w:rPr>
        <w:t>subject of an administrative investigation and prosecution.  Numerous other terms are used</w:t>
      </w:r>
      <w:r w:rsidR="00000C95" w:rsidRPr="00F96C06">
        <w:rPr>
          <w:rFonts w:ascii="Times New Roman" w:hAnsi="Times New Roman" w:cs="Times New Roman"/>
          <w:sz w:val="24"/>
          <w:szCs w:val="24"/>
        </w:rPr>
        <w:t xml:space="preserve"> including “</w:t>
      </w:r>
      <w:r w:rsidR="00815ECC" w:rsidRPr="00F96C06">
        <w:rPr>
          <w:rFonts w:ascii="Times New Roman" w:hAnsi="Times New Roman" w:cs="Times New Roman"/>
          <w:sz w:val="24"/>
          <w:szCs w:val="24"/>
        </w:rPr>
        <w:t>charged party,</w:t>
      </w:r>
      <w:r w:rsidR="00000C95" w:rsidRPr="00F96C06">
        <w:rPr>
          <w:rFonts w:ascii="Times New Roman" w:hAnsi="Times New Roman" w:cs="Times New Roman"/>
          <w:sz w:val="24"/>
          <w:szCs w:val="24"/>
        </w:rPr>
        <w:t>”</w:t>
      </w:r>
      <w:r w:rsidR="00815ECC" w:rsidRPr="00F96C06">
        <w:rPr>
          <w:rFonts w:ascii="Times New Roman" w:hAnsi="Times New Roman" w:cs="Times New Roman"/>
          <w:sz w:val="24"/>
          <w:szCs w:val="24"/>
        </w:rPr>
        <w:t xml:space="preserve"> </w:t>
      </w:r>
      <w:r w:rsidR="00000C95" w:rsidRPr="00F96C06">
        <w:rPr>
          <w:rFonts w:ascii="Times New Roman" w:hAnsi="Times New Roman" w:cs="Times New Roman"/>
          <w:sz w:val="24"/>
          <w:szCs w:val="24"/>
        </w:rPr>
        <w:t>“</w:t>
      </w:r>
      <w:r w:rsidR="007E19B0" w:rsidRPr="00F96C06">
        <w:rPr>
          <w:rFonts w:ascii="Times New Roman" w:hAnsi="Times New Roman" w:cs="Times New Roman"/>
          <w:sz w:val="24"/>
          <w:szCs w:val="24"/>
        </w:rPr>
        <w:t>respondent</w:t>
      </w:r>
      <w:r w:rsidR="00000C95" w:rsidRPr="00F96C06">
        <w:rPr>
          <w:rFonts w:ascii="Times New Roman" w:hAnsi="Times New Roman" w:cs="Times New Roman"/>
          <w:sz w:val="24"/>
          <w:szCs w:val="24"/>
        </w:rPr>
        <w:t>”</w:t>
      </w:r>
      <w:r w:rsidR="007E19B0" w:rsidRPr="00F96C06">
        <w:rPr>
          <w:rFonts w:ascii="Times New Roman" w:hAnsi="Times New Roman" w:cs="Times New Roman"/>
          <w:sz w:val="24"/>
          <w:szCs w:val="24"/>
        </w:rPr>
        <w:t xml:space="preserve"> or </w:t>
      </w:r>
      <w:r w:rsidR="00000C95" w:rsidRPr="00F96C06">
        <w:rPr>
          <w:rFonts w:ascii="Times New Roman" w:hAnsi="Times New Roman" w:cs="Times New Roman"/>
          <w:sz w:val="24"/>
          <w:szCs w:val="24"/>
        </w:rPr>
        <w:t>“</w:t>
      </w:r>
      <w:r w:rsidR="007E19B0" w:rsidRPr="00F96C06">
        <w:rPr>
          <w:rFonts w:ascii="Times New Roman" w:hAnsi="Times New Roman" w:cs="Times New Roman"/>
          <w:sz w:val="24"/>
          <w:szCs w:val="24"/>
        </w:rPr>
        <w:t>defendant.</w:t>
      </w:r>
      <w:r w:rsidR="00000C95" w:rsidRPr="00F96C06">
        <w:rPr>
          <w:rFonts w:ascii="Times New Roman" w:hAnsi="Times New Roman" w:cs="Times New Roman"/>
          <w:sz w:val="24"/>
          <w:szCs w:val="24"/>
        </w:rPr>
        <w:t>”</w:t>
      </w:r>
      <w:r w:rsidR="007E19B0" w:rsidRPr="00F96C06">
        <w:rPr>
          <w:rFonts w:ascii="Times New Roman" w:hAnsi="Times New Roman" w:cs="Times New Roman"/>
          <w:sz w:val="24"/>
          <w:szCs w:val="24"/>
        </w:rPr>
        <w:t xml:space="preserve"> </w:t>
      </w:r>
    </w:p>
  </w:footnote>
  <w:footnote w:id="2">
    <w:p w14:paraId="1E566923" w14:textId="007B89AD" w:rsidR="007F79A6" w:rsidRPr="00F96C06" w:rsidRDefault="007F79A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The term “agency heads” refers to the members of the agency.</w:t>
      </w:r>
    </w:p>
  </w:footnote>
  <w:footnote w:id="3">
    <w:p w14:paraId="70546395" w14:textId="0BF590C6" w:rsidR="00D64845" w:rsidRPr="00F96C06" w:rsidRDefault="00D64845" w:rsidP="00D6484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00CE4375" w:rsidRPr="00F96C06">
        <w:rPr>
          <w:rFonts w:ascii="Times New Roman" w:hAnsi="Times New Roman" w:cs="Times New Roman"/>
          <w:sz w:val="24"/>
          <w:szCs w:val="24"/>
        </w:rPr>
        <w:t xml:space="preserve">  </w:t>
      </w:r>
      <w:r w:rsidR="009A176A" w:rsidRPr="00F96C06">
        <w:rPr>
          <w:rFonts w:ascii="Times New Roman" w:hAnsi="Times New Roman" w:cs="Times New Roman"/>
          <w:sz w:val="24"/>
          <w:szCs w:val="24"/>
        </w:rPr>
        <w:t>“G</w:t>
      </w:r>
      <w:r w:rsidR="00A910D3" w:rsidRPr="00F96C06">
        <w:rPr>
          <w:rFonts w:ascii="Times New Roman" w:hAnsi="Times New Roman" w:cs="Times New Roman"/>
          <w:sz w:val="24"/>
          <w:szCs w:val="24"/>
        </w:rPr>
        <w:t xml:space="preserve">reenlighting” is a term often used in the entertainment industry. It refers to an executive-level decision by a financing or distribution company </w:t>
      </w:r>
      <w:r w:rsidR="005E7D8B" w:rsidRPr="00F96C06">
        <w:rPr>
          <w:rFonts w:ascii="Times New Roman" w:hAnsi="Times New Roman" w:cs="Times New Roman"/>
          <w:sz w:val="24"/>
          <w:szCs w:val="24"/>
        </w:rPr>
        <w:t>t</w:t>
      </w:r>
      <w:r w:rsidR="00CE4375" w:rsidRPr="00F96C06">
        <w:rPr>
          <w:rFonts w:ascii="Times New Roman" w:hAnsi="Times New Roman" w:cs="Times New Roman"/>
          <w:sz w:val="24"/>
          <w:szCs w:val="24"/>
        </w:rPr>
        <w:t xml:space="preserve">o accept </w:t>
      </w:r>
      <w:r w:rsidR="00A910D3" w:rsidRPr="00F96C06">
        <w:rPr>
          <w:rFonts w:ascii="Times New Roman" w:hAnsi="Times New Roman" w:cs="Times New Roman"/>
          <w:sz w:val="24"/>
          <w:szCs w:val="24"/>
        </w:rPr>
        <w:t xml:space="preserve">a proposal for a film or television show.  </w:t>
      </w:r>
      <w:r w:rsidRPr="00F96C06">
        <w:rPr>
          <w:rFonts w:ascii="Times New Roman" w:hAnsi="Times New Roman" w:cs="Times New Roman"/>
          <w:sz w:val="24"/>
          <w:szCs w:val="24"/>
        </w:rPr>
        <w:t xml:space="preserve">I </w:t>
      </w:r>
      <w:r w:rsidR="00A910D3" w:rsidRPr="00F96C06">
        <w:rPr>
          <w:rFonts w:ascii="Times New Roman" w:hAnsi="Times New Roman" w:cs="Times New Roman"/>
          <w:sz w:val="24"/>
          <w:szCs w:val="24"/>
        </w:rPr>
        <w:t xml:space="preserve">also </w:t>
      </w:r>
      <w:r w:rsidRPr="00F96C06">
        <w:rPr>
          <w:rFonts w:ascii="Times New Roman" w:hAnsi="Times New Roman" w:cs="Times New Roman"/>
          <w:sz w:val="24"/>
          <w:szCs w:val="24"/>
        </w:rPr>
        <w:t>borrow</w:t>
      </w:r>
      <w:r w:rsidR="00A910D3" w:rsidRPr="00F96C06">
        <w:rPr>
          <w:rFonts w:ascii="Times New Roman" w:hAnsi="Times New Roman" w:cs="Times New Roman"/>
          <w:sz w:val="24"/>
          <w:szCs w:val="24"/>
        </w:rPr>
        <w:t>ed</w:t>
      </w:r>
      <w:r w:rsidRPr="00F96C06">
        <w:rPr>
          <w:rFonts w:ascii="Times New Roman" w:hAnsi="Times New Roman" w:cs="Times New Roman"/>
          <w:sz w:val="24"/>
          <w:szCs w:val="24"/>
        </w:rPr>
        <w:t xml:space="preserve"> the greenlight metaphor from </w:t>
      </w:r>
      <w:r w:rsidR="00F94BD4" w:rsidRPr="00F96C06">
        <w:rPr>
          <w:rFonts w:ascii="Times New Roman" w:hAnsi="Times New Roman" w:cs="Times New Roman"/>
          <w:sz w:val="24"/>
          <w:szCs w:val="24"/>
        </w:rPr>
        <w:t xml:space="preserve">Harlow and Rawlings.  </w:t>
      </w:r>
      <w:r w:rsidR="00F94BD4" w:rsidRPr="00F96C06">
        <w:rPr>
          <w:rFonts w:ascii="Times New Roman" w:hAnsi="Times New Roman" w:cs="Times New Roman"/>
          <w:i/>
          <w:iCs/>
          <w:sz w:val="24"/>
          <w:szCs w:val="24"/>
        </w:rPr>
        <w:t>See</w:t>
      </w:r>
      <w:r w:rsidR="00F94BD4" w:rsidRPr="00F96C06">
        <w:rPr>
          <w:rFonts w:ascii="Times New Roman" w:hAnsi="Times New Roman" w:cs="Times New Roman"/>
          <w:sz w:val="24"/>
          <w:szCs w:val="24"/>
        </w:rPr>
        <w:t xml:space="preserve"> </w:t>
      </w:r>
      <w:r w:rsidRPr="00F96C06">
        <w:rPr>
          <w:rFonts w:ascii="Times New Roman" w:hAnsi="Times New Roman" w:cs="Times New Roman"/>
          <w:smallCaps/>
          <w:sz w:val="24"/>
          <w:szCs w:val="24"/>
        </w:rPr>
        <w:t>Carol Harlow and Richard Rawlings,</w:t>
      </w:r>
      <w:r w:rsidRPr="00F96C06">
        <w:rPr>
          <w:rFonts w:ascii="Times New Roman" w:hAnsi="Times New Roman" w:cs="Times New Roman"/>
          <w:sz w:val="24"/>
          <w:szCs w:val="24"/>
        </w:rPr>
        <w:t xml:space="preserve"> </w:t>
      </w:r>
      <w:r w:rsidRPr="00F96C06">
        <w:rPr>
          <w:rFonts w:ascii="Times New Roman" w:hAnsi="Times New Roman" w:cs="Times New Roman"/>
          <w:smallCaps/>
          <w:sz w:val="24"/>
          <w:szCs w:val="24"/>
        </w:rPr>
        <w:t>Law and Administration</w:t>
      </w:r>
      <w:r w:rsidRPr="00F96C06">
        <w:rPr>
          <w:rFonts w:ascii="Times New Roman" w:hAnsi="Times New Roman" w:cs="Times New Roman"/>
          <w:sz w:val="24"/>
          <w:szCs w:val="24"/>
        </w:rPr>
        <w:t xml:space="preserve"> (2004)</w:t>
      </w:r>
      <w:r w:rsidR="00F94BD4" w:rsidRPr="00F96C06">
        <w:rPr>
          <w:rFonts w:ascii="Times New Roman" w:hAnsi="Times New Roman" w:cs="Times New Roman"/>
          <w:sz w:val="24"/>
          <w:szCs w:val="24"/>
        </w:rPr>
        <w:t xml:space="preserve">, discussed </w:t>
      </w:r>
      <w:r w:rsidR="00F94BD4" w:rsidRPr="00F96C06">
        <w:rPr>
          <w:rFonts w:ascii="Times New Roman" w:hAnsi="Times New Roman" w:cs="Times New Roman"/>
          <w:i/>
          <w:iCs/>
          <w:sz w:val="24"/>
          <w:szCs w:val="24"/>
        </w:rPr>
        <w:t>infra</w:t>
      </w:r>
      <w:r w:rsidR="00F94BD4" w:rsidRPr="00F96C06">
        <w:rPr>
          <w:rFonts w:ascii="Times New Roman" w:hAnsi="Times New Roman" w:cs="Times New Roman"/>
          <w:sz w:val="24"/>
          <w:szCs w:val="24"/>
        </w:rPr>
        <w:t xml:space="preserve"> note 93.</w:t>
      </w:r>
    </w:p>
  </w:footnote>
  <w:footnote w:id="4">
    <w:p w14:paraId="211BAF07" w14:textId="0011FD64" w:rsidR="001039F3" w:rsidRPr="00F96C06" w:rsidRDefault="001039F3" w:rsidP="001039F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The five agencies I studied have multiple members. However, I believe my findings apply to combined-function agencies that have only a single head. The five agencies are subject to the adjudication provisions of the A</w:t>
      </w:r>
      <w:r w:rsidR="005E7D8B" w:rsidRPr="00F96C06">
        <w:rPr>
          <w:rFonts w:ascii="Times New Roman" w:hAnsi="Times New Roman" w:cs="Times New Roman"/>
          <w:sz w:val="24"/>
          <w:szCs w:val="24"/>
        </w:rPr>
        <w:t>dministrative Procedure Act (A</w:t>
      </w:r>
      <w:r w:rsidRPr="00F96C06">
        <w:rPr>
          <w:rFonts w:ascii="Times New Roman" w:hAnsi="Times New Roman" w:cs="Times New Roman"/>
          <w:sz w:val="24"/>
          <w:szCs w:val="24"/>
        </w:rPr>
        <w:t>PA</w:t>
      </w:r>
      <w:r w:rsidR="005E7D8B" w:rsidRPr="00F96C06">
        <w:rPr>
          <w:rFonts w:ascii="Times New Roman" w:hAnsi="Times New Roman" w:cs="Times New Roman"/>
          <w:sz w:val="24"/>
          <w:szCs w:val="24"/>
        </w:rPr>
        <w:t xml:space="preserve">). I refer to hearings governed by the APA as Type A adjudication. The findings of this study appear equally applicable to </w:t>
      </w:r>
      <w:r w:rsidRPr="00F96C06">
        <w:rPr>
          <w:rFonts w:ascii="Times New Roman" w:hAnsi="Times New Roman" w:cs="Times New Roman"/>
          <w:sz w:val="24"/>
          <w:szCs w:val="24"/>
        </w:rPr>
        <w:t xml:space="preserve"> combined function agencies outside the APA</w:t>
      </w:r>
      <w:r w:rsidR="005E7D8B" w:rsidRPr="00F96C06">
        <w:rPr>
          <w:rFonts w:ascii="Times New Roman" w:hAnsi="Times New Roman" w:cs="Times New Roman"/>
          <w:sz w:val="24"/>
          <w:szCs w:val="24"/>
        </w:rPr>
        <w:t xml:space="preserve"> that also conduct evidentiary hearings </w:t>
      </w:r>
      <w:r w:rsidRPr="00F96C06">
        <w:rPr>
          <w:rFonts w:ascii="Times New Roman" w:hAnsi="Times New Roman" w:cs="Times New Roman"/>
          <w:sz w:val="24"/>
          <w:szCs w:val="24"/>
        </w:rPr>
        <w:t>(so-called Type B adjudication)</w:t>
      </w:r>
      <w:r w:rsidR="005E7D8B" w:rsidRPr="00F96C06">
        <w:rPr>
          <w:rFonts w:ascii="Times New Roman" w:hAnsi="Times New Roman" w:cs="Times New Roman"/>
          <w:sz w:val="24"/>
          <w:szCs w:val="24"/>
        </w:rPr>
        <w:t>.</w:t>
      </w:r>
      <w:r w:rsidRPr="00F96C06">
        <w:rPr>
          <w:rFonts w:ascii="Times New Roman" w:hAnsi="Times New Roman" w:cs="Times New Roman"/>
          <w:sz w:val="24"/>
          <w:szCs w:val="24"/>
        </w:rPr>
        <w:t xml:space="preserve"> For further discussion of the distinctions between Types A, B, and C adjudication see </w:t>
      </w:r>
      <w:r w:rsidRPr="00F96C06">
        <w:rPr>
          <w:rFonts w:ascii="Times New Roman" w:hAnsi="Times New Roman" w:cs="Times New Roman"/>
          <w:smallCaps/>
          <w:sz w:val="24"/>
          <w:szCs w:val="24"/>
        </w:rPr>
        <w:t>Michael Asimow,</w:t>
      </w:r>
      <w:r w:rsidRPr="00F96C06">
        <w:rPr>
          <w:rFonts w:ascii="Times New Roman" w:hAnsi="Times New Roman" w:cs="Times New Roman"/>
          <w:sz w:val="24"/>
          <w:szCs w:val="24"/>
        </w:rPr>
        <w:t xml:space="preserve"> </w:t>
      </w:r>
      <w:r w:rsidRPr="00F96C06">
        <w:rPr>
          <w:rFonts w:ascii="Times New Roman" w:hAnsi="Times New Roman" w:cs="Times New Roman"/>
          <w:smallCaps/>
          <w:sz w:val="24"/>
          <w:szCs w:val="24"/>
        </w:rPr>
        <w:t>Federal Administrative Adjudication</w:t>
      </w:r>
      <w:r w:rsidR="00175883" w:rsidRPr="00F96C06">
        <w:rPr>
          <w:rFonts w:ascii="Times New Roman" w:hAnsi="Times New Roman" w:cs="Times New Roman"/>
          <w:smallCaps/>
          <w:sz w:val="24"/>
          <w:szCs w:val="24"/>
        </w:rPr>
        <w:t xml:space="preserve"> </w:t>
      </w:r>
      <w:r w:rsidRPr="00F96C06">
        <w:rPr>
          <w:rFonts w:ascii="Times New Roman" w:hAnsi="Times New Roman" w:cs="Times New Roman"/>
          <w:smallCaps/>
          <w:sz w:val="24"/>
          <w:szCs w:val="24"/>
        </w:rPr>
        <w:t>Outside the Administrative Procedure Act</w:t>
      </w:r>
      <w:r w:rsidRPr="00F96C06">
        <w:rPr>
          <w:rFonts w:ascii="Times New Roman" w:hAnsi="Times New Roman" w:cs="Times New Roman"/>
          <w:sz w:val="24"/>
          <w:szCs w:val="24"/>
        </w:rPr>
        <w:t xml:space="preserve"> </w:t>
      </w:r>
      <w:r w:rsidR="00175883" w:rsidRPr="00F96C06">
        <w:rPr>
          <w:rFonts w:ascii="Times New Roman" w:hAnsi="Times New Roman" w:cs="Times New Roman"/>
          <w:sz w:val="24"/>
          <w:szCs w:val="24"/>
        </w:rPr>
        <w:t>15-24 (ACUS 2019)</w:t>
      </w:r>
      <w:r w:rsidRPr="00F96C06">
        <w:rPr>
          <w:rFonts w:ascii="Times New Roman" w:hAnsi="Times New Roman" w:cs="Times New Roman"/>
          <w:sz w:val="24"/>
          <w:szCs w:val="24"/>
        </w:rPr>
        <w:t xml:space="preserve"> </w:t>
      </w:r>
    </w:p>
  </w:footnote>
  <w:footnote w:id="5">
    <w:p w14:paraId="1625C6A5" w14:textId="606351EB" w:rsidR="00622928" w:rsidRPr="00F96C06" w:rsidRDefault="00622928" w:rsidP="0062292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It is beyond the scope of this </w:t>
      </w:r>
      <w:r w:rsidR="00816D61" w:rsidRPr="00F96C06">
        <w:rPr>
          <w:rFonts w:ascii="Times New Roman" w:hAnsi="Times New Roman" w:cs="Times New Roman"/>
          <w:sz w:val="24"/>
          <w:szCs w:val="24"/>
        </w:rPr>
        <w:t xml:space="preserve">article </w:t>
      </w:r>
      <w:r w:rsidRPr="00F96C06">
        <w:rPr>
          <w:rFonts w:ascii="Times New Roman" w:hAnsi="Times New Roman" w:cs="Times New Roman"/>
          <w:sz w:val="24"/>
          <w:szCs w:val="24"/>
        </w:rPr>
        <w:t xml:space="preserve">to compare </w:t>
      </w:r>
      <w:r w:rsidR="00AE1590" w:rsidRPr="00F96C06">
        <w:rPr>
          <w:rFonts w:ascii="Times New Roman" w:hAnsi="Times New Roman" w:cs="Times New Roman"/>
          <w:sz w:val="24"/>
          <w:szCs w:val="24"/>
        </w:rPr>
        <w:t xml:space="preserve">the charging process </w:t>
      </w:r>
      <w:r w:rsidRPr="00F96C06">
        <w:rPr>
          <w:rFonts w:ascii="Times New Roman" w:hAnsi="Times New Roman" w:cs="Times New Roman"/>
          <w:sz w:val="24"/>
          <w:szCs w:val="24"/>
        </w:rPr>
        <w:t xml:space="preserve">in the administrative and criminal </w:t>
      </w:r>
      <w:r w:rsidR="00AE1590" w:rsidRPr="00F96C06">
        <w:rPr>
          <w:rFonts w:ascii="Times New Roman" w:hAnsi="Times New Roman" w:cs="Times New Roman"/>
          <w:sz w:val="24"/>
          <w:szCs w:val="24"/>
        </w:rPr>
        <w:t xml:space="preserve">justice systems. </w:t>
      </w:r>
      <w:r w:rsidR="00FB7B59" w:rsidRPr="00F96C06">
        <w:rPr>
          <w:rFonts w:ascii="Times New Roman" w:hAnsi="Times New Roman" w:cs="Times New Roman"/>
          <w:sz w:val="24"/>
          <w:szCs w:val="24"/>
        </w:rPr>
        <w:t xml:space="preserve">A common theme in the literature on </w:t>
      </w:r>
      <w:r w:rsidR="00775A1B" w:rsidRPr="00F96C06">
        <w:rPr>
          <w:rFonts w:ascii="Times New Roman" w:hAnsi="Times New Roman" w:cs="Times New Roman"/>
          <w:sz w:val="24"/>
          <w:szCs w:val="24"/>
        </w:rPr>
        <w:t xml:space="preserve">criminal </w:t>
      </w:r>
      <w:r w:rsidR="00FB7B59" w:rsidRPr="00F96C06">
        <w:rPr>
          <w:rFonts w:ascii="Times New Roman" w:hAnsi="Times New Roman" w:cs="Times New Roman"/>
          <w:sz w:val="24"/>
          <w:szCs w:val="24"/>
        </w:rPr>
        <w:t xml:space="preserve">prosecution is </w:t>
      </w:r>
      <w:r w:rsidRPr="00F96C06">
        <w:rPr>
          <w:rFonts w:ascii="Times New Roman" w:hAnsi="Times New Roman" w:cs="Times New Roman"/>
          <w:sz w:val="24"/>
          <w:szCs w:val="24"/>
        </w:rPr>
        <w:t xml:space="preserve">that the charging decisions of prosecutors (who settle perhaps 95% of their cases) are largely unaccountable. See </w:t>
      </w:r>
      <w:r w:rsidR="00FB7B59" w:rsidRPr="00F96C06">
        <w:rPr>
          <w:rFonts w:ascii="Times New Roman" w:hAnsi="Times New Roman" w:cs="Times New Roman"/>
          <w:sz w:val="24"/>
          <w:szCs w:val="24"/>
        </w:rPr>
        <w:t xml:space="preserve">Daniel C. Richman, “Accounting for Prosecutors,” in </w:t>
      </w:r>
      <w:r w:rsidR="00FB7B59" w:rsidRPr="00F96C06">
        <w:rPr>
          <w:rFonts w:ascii="Times New Roman" w:hAnsi="Times New Roman" w:cs="Times New Roman"/>
          <w:smallCaps/>
          <w:sz w:val="24"/>
          <w:szCs w:val="24"/>
        </w:rPr>
        <w:t>Prosecutors and Democracy: A Cross-National Study</w:t>
      </w:r>
      <w:r w:rsidR="00FB7B59" w:rsidRPr="00F96C06">
        <w:rPr>
          <w:rFonts w:ascii="Times New Roman" w:hAnsi="Times New Roman" w:cs="Times New Roman"/>
          <w:sz w:val="24"/>
          <w:szCs w:val="24"/>
        </w:rPr>
        <w:t>, Maximo Langer &amp; David Alan Sklansky eds. (</w:t>
      </w:r>
      <w:r w:rsidR="00F257E7" w:rsidRPr="00F96C06">
        <w:rPr>
          <w:rFonts w:ascii="Times New Roman" w:hAnsi="Times New Roman" w:cs="Times New Roman"/>
          <w:sz w:val="24"/>
          <w:szCs w:val="24"/>
        </w:rPr>
        <w:t xml:space="preserve">2017); </w:t>
      </w:r>
      <w:r w:rsidR="00D620BF" w:rsidRPr="00F96C06">
        <w:rPr>
          <w:rFonts w:ascii="Times New Roman" w:hAnsi="Times New Roman" w:cs="Times New Roman"/>
          <w:sz w:val="24"/>
          <w:szCs w:val="24"/>
        </w:rPr>
        <w:t xml:space="preserve">Rachel E. </w:t>
      </w:r>
      <w:r w:rsidRPr="00F96C06">
        <w:rPr>
          <w:rFonts w:ascii="Times New Roman" w:hAnsi="Times New Roman" w:cs="Times New Roman"/>
          <w:sz w:val="24"/>
          <w:szCs w:val="24"/>
        </w:rPr>
        <w:t xml:space="preserve">Barkow, </w:t>
      </w:r>
      <w:r w:rsidR="00D620BF" w:rsidRPr="00F96C06">
        <w:rPr>
          <w:rFonts w:ascii="Times New Roman" w:hAnsi="Times New Roman" w:cs="Times New Roman"/>
          <w:i/>
          <w:iCs/>
          <w:sz w:val="24"/>
          <w:szCs w:val="24"/>
        </w:rPr>
        <w:t>Foreword: Overseeing Agency Enforcement,</w:t>
      </w:r>
      <w:r w:rsidR="00D620BF" w:rsidRPr="00F96C06">
        <w:rPr>
          <w:rFonts w:ascii="Times New Roman" w:hAnsi="Times New Roman" w:cs="Times New Roman"/>
          <w:sz w:val="24"/>
          <w:szCs w:val="24"/>
        </w:rPr>
        <w:t xml:space="preserve"> 84 </w:t>
      </w:r>
      <w:r w:rsidR="00D620BF" w:rsidRPr="00F96C06">
        <w:rPr>
          <w:rFonts w:ascii="Times New Roman" w:hAnsi="Times New Roman" w:cs="Times New Roman"/>
          <w:smallCaps/>
          <w:sz w:val="24"/>
          <w:szCs w:val="24"/>
        </w:rPr>
        <w:t xml:space="preserve">Geo. Wash. L. Rev </w:t>
      </w:r>
      <w:r w:rsidR="00D620BF" w:rsidRPr="00F96C06">
        <w:rPr>
          <w:rFonts w:ascii="Times New Roman" w:hAnsi="Times New Roman" w:cs="Times New Roman"/>
          <w:sz w:val="24"/>
          <w:szCs w:val="24"/>
        </w:rPr>
        <w:t>1129 (2016)</w:t>
      </w:r>
      <w:r w:rsidR="006E580B" w:rsidRPr="00F96C06">
        <w:rPr>
          <w:rFonts w:ascii="Times New Roman" w:hAnsi="Times New Roman" w:cs="Times New Roman"/>
          <w:sz w:val="24"/>
          <w:szCs w:val="24"/>
        </w:rPr>
        <w:t>;</w:t>
      </w:r>
      <w:r w:rsidRPr="00F96C06">
        <w:rPr>
          <w:rFonts w:ascii="Times New Roman" w:hAnsi="Times New Roman" w:cs="Times New Roman"/>
          <w:sz w:val="24"/>
          <w:szCs w:val="24"/>
        </w:rPr>
        <w:t xml:space="preserve"> Rachel E. Barkow, </w:t>
      </w:r>
      <w:r w:rsidRPr="00F96C06">
        <w:rPr>
          <w:rFonts w:ascii="Times New Roman" w:hAnsi="Times New Roman" w:cs="Times New Roman"/>
          <w:i/>
          <w:iCs/>
          <w:sz w:val="24"/>
          <w:szCs w:val="24"/>
        </w:rPr>
        <w:t>Institutional Design and the Policing of Prosecutors: Lessons from Administrative Law,</w:t>
      </w:r>
      <w:r w:rsidRPr="00F96C06">
        <w:rPr>
          <w:rFonts w:ascii="Times New Roman" w:hAnsi="Times New Roman" w:cs="Times New Roman"/>
          <w:sz w:val="24"/>
          <w:szCs w:val="24"/>
        </w:rPr>
        <w:t xml:space="preserve"> 61 </w:t>
      </w:r>
      <w:r w:rsidRPr="00F96C06">
        <w:rPr>
          <w:rFonts w:ascii="Times New Roman" w:hAnsi="Times New Roman" w:cs="Times New Roman"/>
          <w:smallCaps/>
          <w:sz w:val="24"/>
          <w:szCs w:val="24"/>
        </w:rPr>
        <w:t>Stan. L. Rev.</w:t>
      </w:r>
      <w:r w:rsidRPr="00F96C06">
        <w:rPr>
          <w:rFonts w:ascii="Times New Roman" w:hAnsi="Times New Roman" w:cs="Times New Roman"/>
          <w:sz w:val="24"/>
          <w:szCs w:val="24"/>
        </w:rPr>
        <w:t xml:space="preserve"> 869  (2009)</w:t>
      </w:r>
      <w:r w:rsidR="006E580B" w:rsidRPr="00F96C06">
        <w:rPr>
          <w:rFonts w:ascii="Times New Roman" w:hAnsi="Times New Roman" w:cs="Times New Roman"/>
          <w:sz w:val="24"/>
          <w:szCs w:val="24"/>
        </w:rPr>
        <w:t>;</w:t>
      </w:r>
      <w:r w:rsidRPr="00F96C06">
        <w:rPr>
          <w:rFonts w:ascii="Times New Roman" w:hAnsi="Times New Roman" w:cs="Times New Roman"/>
          <w:sz w:val="24"/>
          <w:szCs w:val="24"/>
        </w:rPr>
        <w:t xml:space="preserve"> Samuel J. Levine, </w:t>
      </w:r>
      <w:r w:rsidRPr="00F96C06">
        <w:rPr>
          <w:rFonts w:ascii="Times New Roman" w:hAnsi="Times New Roman" w:cs="Times New Roman"/>
          <w:i/>
          <w:iCs/>
          <w:sz w:val="24"/>
          <w:szCs w:val="24"/>
        </w:rPr>
        <w:t>Disciplinary Regulation of Prosecutorial Discretion</w:t>
      </w:r>
      <w:r w:rsidRPr="00F96C06">
        <w:rPr>
          <w:rFonts w:ascii="Times New Roman" w:hAnsi="Times New Roman" w:cs="Times New Roman"/>
          <w:sz w:val="24"/>
          <w:szCs w:val="24"/>
        </w:rPr>
        <w:t xml:space="preserve">, 16 </w:t>
      </w:r>
      <w:r w:rsidRPr="00F96C06">
        <w:rPr>
          <w:rFonts w:ascii="Times New Roman" w:hAnsi="Times New Roman" w:cs="Times New Roman"/>
          <w:smallCaps/>
          <w:sz w:val="24"/>
          <w:szCs w:val="24"/>
        </w:rPr>
        <w:t>Ohio St. J. Crim. L.</w:t>
      </w:r>
      <w:r w:rsidRPr="00F96C06">
        <w:rPr>
          <w:rFonts w:ascii="Times New Roman" w:hAnsi="Times New Roman" w:cs="Times New Roman"/>
          <w:sz w:val="24"/>
          <w:szCs w:val="24"/>
        </w:rPr>
        <w:t xml:space="preserve"> 237, 237 n.1 (2019)</w:t>
      </w:r>
      <w:r w:rsidR="00BD52A3" w:rsidRPr="00F96C06">
        <w:rPr>
          <w:rFonts w:ascii="Times New Roman" w:hAnsi="Times New Roman" w:cs="Times New Roman"/>
          <w:sz w:val="24"/>
          <w:szCs w:val="24"/>
        </w:rPr>
        <w:t xml:space="preserve">; James </w:t>
      </w:r>
      <w:r w:rsidR="00BD52A3" w:rsidRPr="00F96C06">
        <w:rPr>
          <w:rFonts w:ascii="Times New Roman" w:hAnsi="Times New Roman" w:cs="Times New Roman"/>
          <w:sz w:val="24"/>
          <w:szCs w:val="24"/>
        </w:rPr>
        <w:t xml:space="preserve">Vorenberg, </w:t>
      </w:r>
      <w:r w:rsidR="00BD52A3" w:rsidRPr="00F96C06">
        <w:rPr>
          <w:rFonts w:ascii="Times New Roman" w:hAnsi="Times New Roman" w:cs="Times New Roman"/>
          <w:i/>
          <w:iCs/>
          <w:sz w:val="24"/>
          <w:szCs w:val="24"/>
        </w:rPr>
        <w:t xml:space="preserve">Decent Restraint of Prosecutorial </w:t>
      </w:r>
      <w:r w:rsidR="008C1C7F" w:rsidRPr="00F96C06">
        <w:rPr>
          <w:rFonts w:ascii="Times New Roman" w:hAnsi="Times New Roman" w:cs="Times New Roman"/>
          <w:i/>
          <w:iCs/>
          <w:sz w:val="24"/>
          <w:szCs w:val="24"/>
        </w:rPr>
        <w:t>Power,</w:t>
      </w:r>
      <w:r w:rsidR="008C1C7F" w:rsidRPr="00F96C06">
        <w:rPr>
          <w:rFonts w:ascii="Times New Roman" w:hAnsi="Times New Roman" w:cs="Times New Roman"/>
          <w:sz w:val="24"/>
          <w:szCs w:val="24"/>
        </w:rPr>
        <w:t xml:space="preserve"> </w:t>
      </w:r>
      <w:r w:rsidR="00BD52A3" w:rsidRPr="00F96C06">
        <w:rPr>
          <w:rFonts w:ascii="Times New Roman" w:hAnsi="Times New Roman" w:cs="Times New Roman"/>
          <w:sz w:val="24"/>
          <w:szCs w:val="24"/>
        </w:rPr>
        <w:t xml:space="preserve">94 </w:t>
      </w:r>
      <w:r w:rsidR="00BD52A3" w:rsidRPr="00F96C06">
        <w:rPr>
          <w:rFonts w:ascii="Times New Roman" w:hAnsi="Times New Roman" w:cs="Times New Roman"/>
          <w:smallCaps/>
          <w:sz w:val="24"/>
          <w:szCs w:val="24"/>
        </w:rPr>
        <w:t>Harv. L. Rev.</w:t>
      </w:r>
      <w:r w:rsidR="00BD52A3" w:rsidRPr="00F96C06">
        <w:rPr>
          <w:rFonts w:ascii="Times New Roman" w:hAnsi="Times New Roman" w:cs="Times New Roman"/>
          <w:sz w:val="24"/>
          <w:szCs w:val="24"/>
        </w:rPr>
        <w:t xml:space="preserve"> </w:t>
      </w:r>
      <w:r w:rsidR="008C1C7F" w:rsidRPr="00F96C06">
        <w:rPr>
          <w:rFonts w:ascii="Times New Roman" w:hAnsi="Times New Roman" w:cs="Times New Roman"/>
          <w:sz w:val="24"/>
          <w:szCs w:val="24"/>
        </w:rPr>
        <w:t>1521 (1981)</w:t>
      </w:r>
      <w:r w:rsidR="00775A1B" w:rsidRPr="00F96C06">
        <w:rPr>
          <w:rFonts w:ascii="Times New Roman" w:hAnsi="Times New Roman" w:cs="Times New Roman"/>
          <w:sz w:val="24"/>
          <w:szCs w:val="24"/>
        </w:rPr>
        <w:t xml:space="preserve">; Ellen Podgor, </w:t>
      </w:r>
      <w:r w:rsidR="00775A1B" w:rsidRPr="00F96C06">
        <w:rPr>
          <w:rFonts w:ascii="Times New Roman" w:hAnsi="Times New Roman" w:cs="Times New Roman"/>
          <w:i/>
          <w:iCs/>
          <w:sz w:val="24"/>
          <w:szCs w:val="24"/>
        </w:rPr>
        <w:t>The Dichotomy Between Overcriminalization and Underregulation,</w:t>
      </w:r>
      <w:r w:rsidR="00775A1B" w:rsidRPr="00F96C06">
        <w:rPr>
          <w:rFonts w:ascii="Times New Roman" w:hAnsi="Times New Roman" w:cs="Times New Roman"/>
          <w:sz w:val="24"/>
          <w:szCs w:val="24"/>
        </w:rPr>
        <w:t xml:space="preserve"> 70 </w:t>
      </w:r>
      <w:r w:rsidR="00775A1B" w:rsidRPr="00F96C06">
        <w:rPr>
          <w:rFonts w:ascii="Times New Roman" w:hAnsi="Times New Roman" w:cs="Times New Roman"/>
          <w:smallCaps/>
          <w:sz w:val="24"/>
          <w:szCs w:val="24"/>
        </w:rPr>
        <w:t xml:space="preserve">Amer. U. L. Rev. </w:t>
      </w:r>
      <w:r w:rsidR="00775A1B" w:rsidRPr="00F96C06">
        <w:rPr>
          <w:rFonts w:ascii="Times New Roman" w:hAnsi="Times New Roman" w:cs="Times New Roman"/>
          <w:sz w:val="24"/>
          <w:szCs w:val="24"/>
        </w:rPr>
        <w:t>1061, 1093 (2021)</w:t>
      </w:r>
      <w:r w:rsidR="008C1C7F" w:rsidRPr="00F96C06">
        <w:rPr>
          <w:rFonts w:ascii="Times New Roman" w:hAnsi="Times New Roman" w:cs="Times New Roman"/>
          <w:sz w:val="24"/>
          <w:szCs w:val="24"/>
        </w:rPr>
        <w:t xml:space="preserve">. </w:t>
      </w:r>
    </w:p>
  </w:footnote>
  <w:footnote w:id="6">
    <w:p w14:paraId="040BE59A" w14:textId="5CC4318E" w:rsidR="00A368B6" w:rsidRPr="00F96C06" w:rsidRDefault="00A368B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Edward Rubin, </w:t>
      </w:r>
      <w:r w:rsidRPr="00F96C06">
        <w:rPr>
          <w:rFonts w:ascii="Times New Roman" w:hAnsi="Times New Roman" w:cs="Times New Roman"/>
          <w:i/>
          <w:iCs/>
          <w:sz w:val="24"/>
          <w:szCs w:val="24"/>
        </w:rPr>
        <w:t xml:space="preserve">It’s Time to Make the Administrative Procedure Act Administrative,  </w:t>
      </w:r>
      <w:r w:rsidRPr="00F96C06">
        <w:rPr>
          <w:rFonts w:ascii="Times New Roman" w:hAnsi="Times New Roman" w:cs="Times New Roman"/>
          <w:sz w:val="24"/>
          <w:szCs w:val="24"/>
        </w:rPr>
        <w:t xml:space="preserve">89 </w:t>
      </w:r>
      <w:r w:rsidRPr="00F96C06">
        <w:rPr>
          <w:rFonts w:ascii="Times New Roman" w:hAnsi="Times New Roman" w:cs="Times New Roman"/>
          <w:smallCaps/>
          <w:sz w:val="24"/>
          <w:szCs w:val="24"/>
        </w:rPr>
        <w:t>Cornell L. R.</w:t>
      </w:r>
      <w:r w:rsidRPr="00F96C06">
        <w:rPr>
          <w:rFonts w:ascii="Times New Roman" w:hAnsi="Times New Roman" w:cs="Times New Roman"/>
          <w:sz w:val="24"/>
          <w:szCs w:val="24"/>
        </w:rPr>
        <w:t xml:space="preserve"> 95, 125 (2003)</w:t>
      </w:r>
      <w:r w:rsidR="00F250C5" w:rsidRPr="00F96C06">
        <w:rPr>
          <w:rFonts w:ascii="Times New Roman" w:hAnsi="Times New Roman" w:cs="Times New Roman"/>
          <w:sz w:val="24"/>
          <w:szCs w:val="24"/>
        </w:rPr>
        <w:t xml:space="preserve">; Angela J. Davis, “Prosecutors, Democracy, and Race,” in Langer &amp; Sklansky, </w:t>
      </w:r>
      <w:r w:rsidR="00F250C5" w:rsidRPr="00F96C06">
        <w:rPr>
          <w:rFonts w:ascii="Times New Roman" w:hAnsi="Times New Roman" w:cs="Times New Roman"/>
          <w:i/>
          <w:iCs/>
          <w:sz w:val="24"/>
          <w:szCs w:val="24"/>
        </w:rPr>
        <w:t>supra</w:t>
      </w:r>
      <w:r w:rsidR="00F250C5" w:rsidRPr="00F96C06">
        <w:rPr>
          <w:rFonts w:ascii="Times New Roman" w:hAnsi="Times New Roman" w:cs="Times New Roman"/>
          <w:sz w:val="24"/>
          <w:szCs w:val="24"/>
        </w:rPr>
        <w:t xml:space="preserve"> note 5. </w:t>
      </w:r>
    </w:p>
  </w:footnote>
  <w:footnote w:id="7">
    <w:p w14:paraId="694F34D7" w14:textId="3E24B5DD" w:rsidR="00D64845" w:rsidRPr="00F96C06" w:rsidRDefault="00D64845" w:rsidP="00D6484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E463DC" w:rsidRPr="00F96C06">
        <w:rPr>
          <w:rFonts w:ascii="Times New Roman" w:hAnsi="Times New Roman" w:cs="Times New Roman"/>
          <w:sz w:val="24"/>
          <w:szCs w:val="24"/>
        </w:rPr>
        <w:t xml:space="preserve"> See discussion of agency practice in Part II.  The agencies discussed in Part II settle between 30% and 95% of charged cases before hearing.  </w:t>
      </w:r>
    </w:p>
  </w:footnote>
  <w:footnote w:id="8">
    <w:p w14:paraId="27598ABB" w14:textId="5EE442A0" w:rsidR="00F34E14" w:rsidRPr="00F96C06" w:rsidRDefault="00F34E14" w:rsidP="00F34E14">
      <w:r w:rsidRPr="00F96C06">
        <w:rPr>
          <w:rStyle w:val="FootnoteReference"/>
        </w:rPr>
        <w:footnoteRef/>
      </w:r>
      <w:r w:rsidRPr="00F96C06">
        <w:t xml:space="preserve"> There is a large and informative literature on the administrative enforcement function, but little of it concentrates on </w:t>
      </w:r>
      <w:r w:rsidR="005E6E76" w:rsidRPr="00F96C06">
        <w:t xml:space="preserve">prosecutorial discretion and greenlighting </w:t>
      </w:r>
      <w:r w:rsidRPr="00F96C06">
        <w:t xml:space="preserve">in combined-function agencies.  See Kate Andrias, </w:t>
      </w:r>
      <w:r w:rsidRPr="00F96C06">
        <w:rPr>
          <w:i/>
          <w:iCs/>
        </w:rPr>
        <w:t>The President’s Enforcement Power,</w:t>
      </w:r>
      <w:r w:rsidRPr="00F96C06">
        <w:t xml:space="preserve"> 88 </w:t>
      </w:r>
      <w:r w:rsidRPr="00F96C06">
        <w:rPr>
          <w:smallCaps/>
        </w:rPr>
        <w:t xml:space="preserve">N.Y.U. L. Rev. </w:t>
      </w:r>
      <w:r w:rsidRPr="00F96C06">
        <w:t xml:space="preserve">1031 (2013); </w:t>
      </w:r>
      <w:r w:rsidR="00BC7E67" w:rsidRPr="00F96C06">
        <w:rPr>
          <w:smallCaps/>
        </w:rPr>
        <w:t>Eugene Bardach &amp; Robert A. Kagan, Going by the Book</w:t>
      </w:r>
      <w:r w:rsidR="00BC7E67" w:rsidRPr="00F96C06">
        <w:t xml:space="preserve"> (1982); </w:t>
      </w:r>
      <w:r w:rsidRPr="00F96C06">
        <w:t xml:space="preserve">Rachel Barkow, </w:t>
      </w:r>
      <w:r w:rsidRPr="00F96C06">
        <w:rPr>
          <w:i/>
          <w:iCs/>
        </w:rPr>
        <w:t>Foreword: Overseeing Agency Enforcement,</w:t>
      </w:r>
      <w:r w:rsidRPr="00F96C06">
        <w:t xml:space="preserve"> 84 </w:t>
      </w:r>
      <w:r w:rsidRPr="00F96C06">
        <w:rPr>
          <w:smallCaps/>
        </w:rPr>
        <w:t xml:space="preserve">Geo. Wash. L. Rev </w:t>
      </w:r>
      <w:r w:rsidRPr="00F96C06">
        <w:t xml:space="preserve">1129 (2016); Stephanie Bornstein, </w:t>
      </w:r>
      <w:r w:rsidRPr="00F96C06">
        <w:rPr>
          <w:i/>
          <w:iCs/>
        </w:rPr>
        <w:t>Public-Private Co-Enforcement Litigation,</w:t>
      </w:r>
      <w:r w:rsidRPr="00F96C06">
        <w:t xml:space="preserve"> 104 </w:t>
      </w:r>
      <w:r w:rsidRPr="00F96C06">
        <w:rPr>
          <w:smallCaps/>
        </w:rPr>
        <w:t>Minn. L. Rev.</w:t>
      </w:r>
      <w:r w:rsidRPr="00F96C06">
        <w:t xml:space="preserve"> 811(2019); John Braithwaite et al., </w:t>
      </w:r>
      <w:r w:rsidRPr="00F96C06">
        <w:rPr>
          <w:i/>
          <w:iCs/>
        </w:rPr>
        <w:t>An Enforcement Taxonomy of Regulatory Agencies,</w:t>
      </w:r>
      <w:r w:rsidRPr="00F96C06">
        <w:t xml:space="preserve"> 9 </w:t>
      </w:r>
      <w:r w:rsidRPr="00F96C06">
        <w:rPr>
          <w:smallCaps/>
        </w:rPr>
        <w:t>Law &amp; Policy 323</w:t>
      </w:r>
      <w:r w:rsidRPr="00F96C06">
        <w:t xml:space="preserve"> (1989); </w:t>
      </w:r>
      <w:r w:rsidR="00EA6BB9" w:rsidRPr="00F96C06">
        <w:t xml:space="preserve">Jackson Frazier, </w:t>
      </w:r>
      <w:r w:rsidR="00EA6BB9" w:rsidRPr="00F96C06">
        <w:rPr>
          <w:i/>
          <w:iCs/>
          <w:color w:val="1C2D3D"/>
          <w:shd w:val="clear" w:color="auto" w:fill="F5F5F5"/>
        </w:rPr>
        <w:t>Perfecting Participation: Arbitrariness and Accountability in Agency Enforcement,</w:t>
      </w:r>
      <w:r w:rsidR="00EA6BB9" w:rsidRPr="00F96C06">
        <w:rPr>
          <w:color w:val="1C2D3D"/>
          <w:shd w:val="clear" w:color="auto" w:fill="F5F5F5"/>
        </w:rPr>
        <w:t> </w:t>
      </w:r>
      <w:r w:rsidR="00EA6BB9" w:rsidRPr="00F96C06">
        <w:t xml:space="preserve">96 </w:t>
      </w:r>
      <w:r w:rsidR="00EA6BB9" w:rsidRPr="00F96C06">
        <w:rPr>
          <w:smallCaps/>
        </w:rPr>
        <w:t>N.Y.U. L.</w:t>
      </w:r>
      <w:r w:rsidR="00CF6D9F" w:rsidRPr="00F96C06">
        <w:rPr>
          <w:smallCaps/>
        </w:rPr>
        <w:t xml:space="preserve"> </w:t>
      </w:r>
      <w:r w:rsidR="00EA6BB9" w:rsidRPr="00F96C06">
        <w:rPr>
          <w:smallCaps/>
        </w:rPr>
        <w:t>Rev.</w:t>
      </w:r>
      <w:r w:rsidR="00EA6BB9" w:rsidRPr="00F96C06">
        <w:t xml:space="preserve"> 2094 (2021); </w:t>
      </w:r>
      <w:r w:rsidRPr="00F96C06">
        <w:t xml:space="preserve">Margaret H. Lemos, </w:t>
      </w:r>
      <w:r w:rsidRPr="00F96C06">
        <w:rPr>
          <w:i/>
          <w:iCs/>
        </w:rPr>
        <w:t xml:space="preserve">Democratic Enforcement: Accountability and Independence for the Litigation State, </w:t>
      </w:r>
      <w:r w:rsidRPr="00F96C06">
        <w:t xml:space="preserve">102 </w:t>
      </w:r>
      <w:r w:rsidRPr="00F96C06">
        <w:rPr>
          <w:smallCaps/>
        </w:rPr>
        <w:t>Corn. L. Rev.</w:t>
      </w:r>
      <w:r w:rsidRPr="00F96C06">
        <w:t xml:space="preserve"> 929 (2017); Daniel L. Markell &amp; Robert L. Glicksman, </w:t>
      </w:r>
      <w:r w:rsidRPr="00F96C06">
        <w:rPr>
          <w:i/>
          <w:iCs/>
        </w:rPr>
        <w:t>A Holistic Look at Agency Enforcement,</w:t>
      </w:r>
      <w:r w:rsidRPr="00F96C06">
        <w:t xml:space="preserve"> 93 </w:t>
      </w:r>
      <w:r w:rsidRPr="00F96C06">
        <w:rPr>
          <w:smallCaps/>
        </w:rPr>
        <w:t>N.C. L. Rev.</w:t>
      </w:r>
      <w:r w:rsidRPr="00F96C06">
        <w:t xml:space="preserve"> 1 (2014); Max Minzner, </w:t>
      </w:r>
      <w:r w:rsidRPr="00F96C06">
        <w:rPr>
          <w:i/>
          <w:iCs/>
        </w:rPr>
        <w:t xml:space="preserve">Should Agencies Enforce? </w:t>
      </w:r>
      <w:r w:rsidRPr="00F96C06">
        <w:t xml:space="preserve">99 </w:t>
      </w:r>
      <w:r w:rsidRPr="00F96C06">
        <w:rPr>
          <w:smallCaps/>
        </w:rPr>
        <w:t xml:space="preserve">Minn. L. Rev. </w:t>
      </w:r>
      <w:r w:rsidRPr="00F96C06">
        <w:t xml:space="preserve">2113 (2015); Jodi L. Short, </w:t>
      </w:r>
      <w:r w:rsidRPr="00F96C06">
        <w:rPr>
          <w:i/>
          <w:iCs/>
        </w:rPr>
        <w:t xml:space="preserve">The Politics of Regulatory Enforcement and Compliance: Theorizing and Operationalizing Political Influences, </w:t>
      </w:r>
      <w:r w:rsidRPr="00F96C06">
        <w:t xml:space="preserve"> SSRN 3645120 (2019); Mila Sohoni, </w:t>
      </w:r>
      <w:r w:rsidRPr="00F96C06">
        <w:rPr>
          <w:i/>
          <w:iCs/>
        </w:rPr>
        <w:t>Crackdowns</w:t>
      </w:r>
      <w:r w:rsidRPr="00F96C06">
        <w:t xml:space="preserve">, 103 </w:t>
      </w:r>
      <w:r w:rsidRPr="00F96C06">
        <w:rPr>
          <w:smallCaps/>
        </w:rPr>
        <w:t>Va. L. Rev.</w:t>
      </w:r>
      <w:r w:rsidRPr="00F96C06">
        <w:t xml:space="preserve"> 31 (2017); Rory Van Loo, </w:t>
      </w:r>
      <w:r w:rsidRPr="00F96C06">
        <w:rPr>
          <w:i/>
          <w:iCs/>
        </w:rPr>
        <w:t>Regulatory Monitors: Policing Firms in the Compliance Era</w:t>
      </w:r>
      <w:r w:rsidRPr="00F96C06">
        <w:t xml:space="preserve">, 119 </w:t>
      </w:r>
      <w:r w:rsidRPr="00F96C06">
        <w:rPr>
          <w:smallCaps/>
        </w:rPr>
        <w:t>Colum. L. Rev.</w:t>
      </w:r>
      <w:r w:rsidRPr="00F96C06">
        <w:t xml:space="preserve"> 369 (2019).</w:t>
      </w:r>
    </w:p>
  </w:footnote>
  <w:footnote w:id="9">
    <w:p w14:paraId="2A15DCA9" w14:textId="7254FDA3"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Dodd</w:t>
      </w:r>
      <w:r w:rsidR="00BF79C4" w:rsidRPr="00F96C06">
        <w:rPr>
          <w:rFonts w:ascii="Times New Roman" w:hAnsi="Times New Roman" w:cs="Times New Roman"/>
          <w:sz w:val="24"/>
          <w:szCs w:val="24"/>
        </w:rPr>
        <w:t>-</w:t>
      </w:r>
      <w:r w:rsidRPr="00F96C06">
        <w:rPr>
          <w:rFonts w:ascii="Times New Roman" w:hAnsi="Times New Roman" w:cs="Times New Roman"/>
          <w:sz w:val="24"/>
          <w:szCs w:val="24"/>
        </w:rPr>
        <w:t xml:space="preserve">Frank Act </w:t>
      </w:r>
      <w:r w:rsidR="00BC15CB" w:rsidRPr="00F96C06">
        <w:rPr>
          <w:rFonts w:ascii="Times New Roman" w:hAnsi="Times New Roman" w:cs="Times New Roman"/>
          <w:sz w:val="24"/>
          <w:szCs w:val="24"/>
        </w:rPr>
        <w:t>§</w:t>
      </w:r>
      <w:r w:rsidRPr="00F96C06">
        <w:rPr>
          <w:rFonts w:ascii="Times New Roman" w:hAnsi="Times New Roman" w:cs="Times New Roman"/>
          <w:sz w:val="24"/>
          <w:szCs w:val="24"/>
        </w:rPr>
        <w:t>929P(a), 15 U</w:t>
      </w:r>
      <w:r w:rsidR="00C93A6B" w:rsidRPr="00F96C06">
        <w:rPr>
          <w:rFonts w:ascii="Times New Roman" w:hAnsi="Times New Roman" w:cs="Times New Roman"/>
          <w:sz w:val="24"/>
          <w:szCs w:val="24"/>
        </w:rPr>
        <w:t>.</w:t>
      </w:r>
      <w:r w:rsidRPr="00F96C06">
        <w:rPr>
          <w:rFonts w:ascii="Times New Roman" w:hAnsi="Times New Roman" w:cs="Times New Roman"/>
          <w:sz w:val="24"/>
          <w:szCs w:val="24"/>
        </w:rPr>
        <w:t>S</w:t>
      </w:r>
      <w:r w:rsidR="00C93A6B" w:rsidRPr="00F96C06">
        <w:rPr>
          <w:rFonts w:ascii="Times New Roman" w:hAnsi="Times New Roman" w:cs="Times New Roman"/>
          <w:sz w:val="24"/>
          <w:szCs w:val="24"/>
        </w:rPr>
        <w:t>.</w:t>
      </w:r>
      <w:r w:rsidRPr="00F96C06">
        <w:rPr>
          <w:rFonts w:ascii="Times New Roman" w:hAnsi="Times New Roman" w:cs="Times New Roman"/>
          <w:sz w:val="24"/>
          <w:szCs w:val="24"/>
        </w:rPr>
        <w:t>C</w:t>
      </w:r>
      <w:r w:rsidR="00C93A6B" w:rsidRPr="00F96C06">
        <w:rPr>
          <w:rFonts w:ascii="Times New Roman" w:hAnsi="Times New Roman" w:cs="Times New Roman"/>
          <w:sz w:val="24"/>
          <w:szCs w:val="24"/>
        </w:rPr>
        <w:t>.</w:t>
      </w:r>
      <w:r w:rsidRPr="00F96C06">
        <w:rPr>
          <w:rFonts w:ascii="Times New Roman" w:hAnsi="Times New Roman" w:cs="Times New Roman"/>
          <w:sz w:val="24"/>
          <w:szCs w:val="24"/>
        </w:rPr>
        <w:t xml:space="preserve"> §§77h1, 78u-2, 80a-9, 80b-3.  </w:t>
      </w:r>
    </w:p>
  </w:footnote>
  <w:footnote w:id="10">
    <w:p w14:paraId="23BF1869" w14:textId="290A35D4"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Gideon Mark, </w:t>
      </w:r>
      <w:r w:rsidRPr="00F96C06">
        <w:rPr>
          <w:rFonts w:ascii="Times New Roman" w:hAnsi="Times New Roman" w:cs="Times New Roman"/>
          <w:i/>
          <w:iCs/>
          <w:sz w:val="24"/>
          <w:szCs w:val="24"/>
        </w:rPr>
        <w:t>SEC and CFTC Administrative Proceedings</w:t>
      </w:r>
      <w:r w:rsidRPr="00F96C06">
        <w:rPr>
          <w:rFonts w:ascii="Times New Roman" w:hAnsi="Times New Roman" w:cs="Times New Roman"/>
          <w:sz w:val="24"/>
          <w:szCs w:val="24"/>
        </w:rPr>
        <w:t xml:space="preserve">, 19 </w:t>
      </w:r>
      <w:r w:rsidRPr="00F96C06">
        <w:rPr>
          <w:rFonts w:ascii="Times New Roman" w:hAnsi="Times New Roman" w:cs="Times New Roman"/>
          <w:smallCaps/>
          <w:sz w:val="24"/>
          <w:szCs w:val="24"/>
        </w:rPr>
        <w:t>U. Pa. J. Const. L.</w:t>
      </w:r>
      <w:r w:rsidRPr="00F96C06">
        <w:rPr>
          <w:rFonts w:ascii="Times New Roman" w:hAnsi="Times New Roman" w:cs="Times New Roman"/>
          <w:sz w:val="24"/>
          <w:szCs w:val="24"/>
        </w:rPr>
        <w:t xml:space="preserve"> 45, 53-59 (2016).  </w:t>
      </w:r>
    </w:p>
  </w:footnote>
  <w:footnote w:id="11">
    <w:p w14:paraId="2CF232BE" w14:textId="740805DD" w:rsidR="002B4E99" w:rsidRPr="00F96C06" w:rsidRDefault="002B4E99" w:rsidP="008C3C0B">
      <w:pPr>
        <w:shd w:val="clear" w:color="auto" w:fill="FFFFFF"/>
        <w:textAlignment w:val="baseline"/>
      </w:pPr>
      <w:r w:rsidRPr="00F96C06">
        <w:rPr>
          <w:rStyle w:val="FootnoteReference"/>
        </w:rPr>
        <w:footnoteRef/>
      </w:r>
      <w:r w:rsidRPr="00F96C06">
        <w:t xml:space="preserve"> 34 F.4th 446 (5th Cir. 2022)</w:t>
      </w:r>
      <w:r w:rsidR="008C3C0B" w:rsidRPr="00F96C06">
        <w:t xml:space="preserve">, rehearing denied, </w:t>
      </w:r>
      <w:r w:rsidR="008C3C0B" w:rsidRPr="00F96C06">
        <w:rPr>
          <w:rStyle w:val="active-reporter"/>
          <w:color w:val="222222"/>
          <w:bdr w:val="none" w:sz="0" w:space="0" w:color="auto" w:frame="1"/>
        </w:rPr>
        <w:t>51 F.4th 644</w:t>
      </w:r>
      <w:r w:rsidR="000437E7" w:rsidRPr="00F96C06">
        <w:rPr>
          <w:rStyle w:val="active-reporter"/>
          <w:color w:val="222222"/>
          <w:bdr w:val="none" w:sz="0" w:space="0" w:color="auto" w:frame="1"/>
        </w:rPr>
        <w:t xml:space="preserve"> (5th Cir. 2022)</w:t>
      </w:r>
      <w:r w:rsidR="008C3C0B" w:rsidRPr="00F96C06">
        <w:rPr>
          <w:rStyle w:val="active-reporter"/>
          <w:color w:val="222222"/>
          <w:bdr w:val="none" w:sz="0" w:space="0" w:color="auto" w:frame="1"/>
        </w:rPr>
        <w:t>.</w:t>
      </w:r>
    </w:p>
  </w:footnote>
  <w:footnote w:id="12">
    <w:p w14:paraId="4CCC27B1" w14:textId="2747A313" w:rsidR="003121EB" w:rsidRPr="00F96C06" w:rsidRDefault="003121EB" w:rsidP="00E07936">
      <w:pPr>
        <w:autoSpaceDE w:val="0"/>
        <w:autoSpaceDN w:val="0"/>
        <w:adjustRightInd w:val="0"/>
      </w:pPr>
      <w:r w:rsidRPr="00F96C06">
        <w:rPr>
          <w:rStyle w:val="FootnoteReference"/>
        </w:rPr>
        <w:footnoteRef/>
      </w:r>
      <w:r w:rsidRPr="00F96C06">
        <w:t xml:space="preserve"> </w:t>
      </w:r>
      <w:r w:rsidR="00E07936" w:rsidRPr="00F96C06">
        <w:t>At one time, the Commission had to approve issuance of subpoenas</w:t>
      </w:r>
      <w:r w:rsidR="00BC15CB" w:rsidRPr="00F96C06">
        <w:t xml:space="preserve"> but</w:t>
      </w:r>
      <w:r w:rsidR="00E07936" w:rsidRPr="00F96C06">
        <w:t xml:space="preserve"> that authority </w:t>
      </w:r>
      <w:r w:rsidR="00BC15CB" w:rsidRPr="00F96C06">
        <w:t xml:space="preserve">has now been </w:t>
      </w:r>
      <w:r w:rsidR="00E07936" w:rsidRPr="00F96C06">
        <w:t>delegated to individual investigators. Under current practice, subpoenas must be approved by the Director of Enforcement</w:t>
      </w:r>
      <w:r w:rsidR="00BC15CB" w:rsidRPr="00F96C06">
        <w:t>,</w:t>
      </w:r>
      <w:r w:rsidR="00E07936" w:rsidRPr="00F96C06">
        <w:t xml:space="preserve"> but not by the Commission. </w:t>
      </w:r>
    </w:p>
  </w:footnote>
  <w:footnote w:id="13">
    <w:p w14:paraId="4F1B8B5D" w14:textId="2A788017"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17 C</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F</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R</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00BF79C4" w:rsidRPr="00F96C06">
        <w:rPr>
          <w:rFonts w:ascii="Times New Roman" w:hAnsi="Times New Roman" w:cs="Times New Roman"/>
          <w:sz w:val="24"/>
          <w:szCs w:val="24"/>
        </w:rPr>
        <w:t>§</w:t>
      </w:r>
      <w:r w:rsidRPr="00F96C06">
        <w:rPr>
          <w:rFonts w:ascii="Times New Roman" w:hAnsi="Times New Roman" w:cs="Times New Roman"/>
          <w:sz w:val="24"/>
          <w:szCs w:val="24"/>
        </w:rPr>
        <w:t xml:space="preserve">202.5(b), (c); SEC Enforcement Manual §2.4. </w:t>
      </w:r>
    </w:p>
  </w:footnote>
  <w:footnote w:id="14">
    <w:p w14:paraId="6EBE555C" w14:textId="1A972DF3"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15 U</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S</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C</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 xml:space="preserve"> §78d-5(a)(1). This provision allows </w:t>
      </w:r>
      <w:r w:rsidR="00E07936" w:rsidRPr="00F96C06">
        <w:rPr>
          <w:rFonts w:ascii="Times New Roman" w:hAnsi="Times New Roman" w:cs="Times New Roman"/>
          <w:sz w:val="24"/>
          <w:szCs w:val="24"/>
        </w:rPr>
        <w:t xml:space="preserve">the Director of Enforcement to </w:t>
      </w:r>
      <w:r w:rsidR="00566437" w:rsidRPr="00F96C06">
        <w:rPr>
          <w:rFonts w:ascii="Times New Roman" w:hAnsi="Times New Roman" w:cs="Times New Roman"/>
          <w:sz w:val="24"/>
          <w:szCs w:val="24"/>
        </w:rPr>
        <w:t xml:space="preserve">extend the period for </w:t>
      </w:r>
      <w:r w:rsidR="00E07936" w:rsidRPr="00F96C06">
        <w:rPr>
          <w:rFonts w:ascii="Times New Roman" w:hAnsi="Times New Roman" w:cs="Times New Roman"/>
          <w:sz w:val="24"/>
          <w:szCs w:val="24"/>
        </w:rPr>
        <w:t xml:space="preserve">an </w:t>
      </w:r>
      <w:r w:rsidRPr="00F96C06">
        <w:rPr>
          <w:rFonts w:ascii="Times New Roman" w:hAnsi="Times New Roman" w:cs="Times New Roman"/>
          <w:sz w:val="24"/>
          <w:szCs w:val="24"/>
        </w:rPr>
        <w:t>additional 180</w:t>
      </w:r>
      <w:r w:rsidR="006253C8" w:rsidRPr="00F96C06">
        <w:rPr>
          <w:rFonts w:ascii="Times New Roman" w:hAnsi="Times New Roman" w:cs="Times New Roman"/>
          <w:sz w:val="24"/>
          <w:szCs w:val="24"/>
        </w:rPr>
        <w:t> </w:t>
      </w:r>
      <w:r w:rsidRPr="00F96C06">
        <w:rPr>
          <w:rFonts w:ascii="Times New Roman" w:hAnsi="Times New Roman" w:cs="Times New Roman"/>
          <w:sz w:val="24"/>
          <w:szCs w:val="24"/>
        </w:rPr>
        <w:t>day</w:t>
      </w:r>
      <w:r w:rsidR="00566437" w:rsidRPr="00F96C06">
        <w:rPr>
          <w:rFonts w:ascii="Times New Roman" w:hAnsi="Times New Roman" w:cs="Times New Roman"/>
          <w:sz w:val="24"/>
          <w:szCs w:val="24"/>
        </w:rPr>
        <w:t>s</w:t>
      </w:r>
      <w:r w:rsidRPr="00F96C06">
        <w:rPr>
          <w:rFonts w:ascii="Times New Roman" w:hAnsi="Times New Roman" w:cs="Times New Roman"/>
          <w:sz w:val="24"/>
          <w:szCs w:val="24"/>
        </w:rPr>
        <w:t xml:space="preserve"> in complex cases. </w:t>
      </w:r>
      <w:r w:rsidR="00E07936" w:rsidRPr="00F96C06">
        <w:rPr>
          <w:rFonts w:ascii="Times New Roman" w:hAnsi="Times New Roman" w:cs="Times New Roman"/>
          <w:sz w:val="24"/>
          <w:szCs w:val="24"/>
        </w:rPr>
        <w:t xml:space="preserve">If additional time is needed, the Commission must approve the extension. </w:t>
      </w:r>
      <w:r w:rsidRPr="00F96C06">
        <w:rPr>
          <w:rFonts w:ascii="Times New Roman" w:hAnsi="Times New Roman" w:cs="Times New Roman"/>
          <w:sz w:val="24"/>
          <w:szCs w:val="24"/>
        </w:rPr>
        <w:t>15 U</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S</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C</w:t>
      </w:r>
      <w:r w:rsidR="000437E7" w:rsidRPr="00F96C06">
        <w:rPr>
          <w:rFonts w:ascii="Times New Roman" w:hAnsi="Times New Roman" w:cs="Times New Roman"/>
          <w:sz w:val="24"/>
          <w:szCs w:val="24"/>
        </w:rPr>
        <w:t>.</w:t>
      </w:r>
      <w:r w:rsidRPr="00F96C06">
        <w:rPr>
          <w:rFonts w:ascii="Times New Roman" w:hAnsi="Times New Roman" w:cs="Times New Roman"/>
          <w:sz w:val="24"/>
          <w:szCs w:val="24"/>
        </w:rPr>
        <w:t xml:space="preserve"> §78d-5(a)(2). </w:t>
      </w:r>
    </w:p>
  </w:footnote>
  <w:footnote w:id="15">
    <w:p w14:paraId="16DD9DD0" w14:textId="5A19CFB4"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w:t>
      </w:r>
      <w:r w:rsidR="00651537" w:rsidRPr="00F96C06">
        <w:rPr>
          <w:rFonts w:ascii="Times New Roman" w:hAnsi="Times New Roman" w:cs="Times New Roman"/>
          <w:sz w:val="24"/>
          <w:szCs w:val="24"/>
        </w:rPr>
        <w:t>, 7</w:t>
      </w:r>
      <w:r w:rsidR="00C92857" w:rsidRPr="00F96C06">
        <w:rPr>
          <w:rFonts w:ascii="Times New Roman" w:hAnsi="Times New Roman" w:cs="Times New Roman"/>
          <w:sz w:val="24"/>
          <w:szCs w:val="24"/>
        </w:rPr>
        <w:t>, 8</w:t>
      </w:r>
      <w:r w:rsidR="00651537" w:rsidRPr="00F96C06">
        <w:rPr>
          <w:rFonts w:ascii="Times New Roman" w:hAnsi="Times New Roman" w:cs="Times New Roman"/>
          <w:sz w:val="24"/>
          <w:szCs w:val="24"/>
        </w:rPr>
        <w:t>. Th</w:t>
      </w:r>
      <w:r w:rsidR="00566437" w:rsidRPr="00F96C06">
        <w:rPr>
          <w:rFonts w:ascii="Times New Roman" w:hAnsi="Times New Roman" w:cs="Times New Roman"/>
          <w:sz w:val="24"/>
          <w:szCs w:val="24"/>
        </w:rPr>
        <w:t>e</w:t>
      </w:r>
      <w:r w:rsidR="00651537" w:rsidRPr="00F96C06">
        <w:rPr>
          <w:rFonts w:ascii="Times New Roman" w:hAnsi="Times New Roman" w:cs="Times New Roman"/>
          <w:sz w:val="24"/>
          <w:szCs w:val="24"/>
        </w:rPr>
        <w:t xml:space="preserve"> white paper procedure existed before the development of the Wells notice</w:t>
      </w:r>
      <w:r w:rsidR="00FD7E8A" w:rsidRPr="00F96C06">
        <w:rPr>
          <w:rFonts w:ascii="Times New Roman" w:hAnsi="Times New Roman" w:cs="Times New Roman"/>
          <w:sz w:val="24"/>
          <w:szCs w:val="24"/>
        </w:rPr>
        <w:t>.</w:t>
      </w:r>
      <w:r w:rsidR="00C92857" w:rsidRPr="00F96C06">
        <w:rPr>
          <w:rFonts w:ascii="Times New Roman" w:hAnsi="Times New Roman" w:cs="Times New Roman"/>
          <w:sz w:val="24"/>
          <w:szCs w:val="24"/>
        </w:rPr>
        <w:t xml:space="preserve"> As a practical matter, the informal communication </w:t>
      </w:r>
      <w:r w:rsidR="00566437" w:rsidRPr="00F96C06">
        <w:rPr>
          <w:rFonts w:ascii="Times New Roman" w:hAnsi="Times New Roman" w:cs="Times New Roman"/>
          <w:sz w:val="24"/>
          <w:szCs w:val="24"/>
        </w:rPr>
        <w:t xml:space="preserve">may provide as much information as a </w:t>
      </w:r>
      <w:r w:rsidR="00C92857" w:rsidRPr="00F96C06">
        <w:rPr>
          <w:rFonts w:ascii="Times New Roman" w:hAnsi="Times New Roman" w:cs="Times New Roman"/>
          <w:sz w:val="24"/>
          <w:szCs w:val="24"/>
        </w:rPr>
        <w:t xml:space="preserve">Wells notice. SEC 8. </w:t>
      </w:r>
    </w:p>
  </w:footnote>
  <w:footnote w:id="16">
    <w:p w14:paraId="31831F3A" w14:textId="3FEBC68F" w:rsidR="003121EB" w:rsidRPr="00F96C06" w:rsidRDefault="003121EB" w:rsidP="00651537">
      <w:r w:rsidRPr="00F96C06">
        <w:rPr>
          <w:rStyle w:val="FootnoteReference"/>
        </w:rPr>
        <w:footnoteRef/>
      </w:r>
      <w:r w:rsidRPr="00F96C06">
        <w:t xml:space="preserve"> </w:t>
      </w:r>
      <w:r w:rsidR="00566437" w:rsidRPr="00F96C06">
        <w:t xml:space="preserve">Section 2.4 of the </w:t>
      </w:r>
      <w:r w:rsidR="000437E7" w:rsidRPr="00F96C06">
        <w:t xml:space="preserve">SEC’s </w:t>
      </w:r>
      <w:r w:rsidRPr="00F96C06">
        <w:t xml:space="preserve">Enforcement Manual </w:t>
      </w:r>
      <w:r w:rsidR="00BB5D45" w:rsidRPr="00F96C06">
        <w:t xml:space="preserve">provides that </w:t>
      </w:r>
      <w:r w:rsidRPr="00F96C06">
        <w:t>the staff should consider</w:t>
      </w:r>
      <w:r w:rsidR="00651537" w:rsidRPr="00F96C06">
        <w:t xml:space="preserve"> w</w:t>
      </w:r>
      <w:r w:rsidRPr="00F96C06">
        <w:t xml:space="preserve">hether </w:t>
      </w:r>
      <w:r w:rsidR="00651537" w:rsidRPr="00F96C06">
        <w:t>“</w:t>
      </w:r>
      <w:r w:rsidRPr="00F96C06">
        <w:t>access to portions of the file would be a productive way for both the staff and the recipient of the Wells notice to assess the strength of the evidence that forms the basis for the staff’s proposed recommendations.</w:t>
      </w:r>
      <w:r w:rsidR="00651537" w:rsidRPr="00F96C06">
        <w:t>”</w:t>
      </w:r>
      <w:r w:rsidRPr="00F96C06">
        <w:t xml:space="preserve"> </w:t>
      </w:r>
    </w:p>
  </w:footnote>
  <w:footnote w:id="17">
    <w:p w14:paraId="3D191A3C" w14:textId="68DA08A6" w:rsidR="00651537" w:rsidRPr="00F96C06" w:rsidRDefault="0065153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7. </w:t>
      </w:r>
    </w:p>
  </w:footnote>
  <w:footnote w:id="18">
    <w:p w14:paraId="7D5D734A" w14:textId="406BC950" w:rsidR="00E6688F" w:rsidRPr="00F96C06" w:rsidRDefault="00E6688F" w:rsidP="00E6688F">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Interviewees estimated that 70 to 80% of cases are settled before hearing. SEC 7, 8; Barkow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582FFD" w:rsidRPr="00F96C06">
        <w:rPr>
          <w:rFonts w:ascii="Times New Roman" w:hAnsi="Times New Roman" w:cs="Times New Roman"/>
          <w:sz w:val="24"/>
          <w:szCs w:val="24"/>
        </w:rPr>
        <w:t>8</w:t>
      </w:r>
      <w:r w:rsidRPr="00F96C06">
        <w:rPr>
          <w:rFonts w:ascii="Times New Roman" w:hAnsi="Times New Roman" w:cs="Times New Roman"/>
          <w:sz w:val="24"/>
          <w:szCs w:val="24"/>
        </w:rPr>
        <w:t xml:space="preserve"> at 1164. </w:t>
      </w:r>
    </w:p>
  </w:footnote>
  <w:footnote w:id="19">
    <w:p w14:paraId="705E5775" w14:textId="77777777"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3. </w:t>
      </w:r>
    </w:p>
  </w:footnote>
  <w:footnote w:id="20">
    <w:p w14:paraId="6E4E0AAD" w14:textId="535BA588"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SEC Enforcement Manual §2.5 for details concerning Commission consideration and seriatim voting. </w:t>
      </w:r>
    </w:p>
  </w:footnote>
  <w:footnote w:id="21">
    <w:p w14:paraId="42FC93B2" w14:textId="0F8757A2"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Enforcement Manual §2.5.2.3</w:t>
      </w:r>
      <w:r w:rsidR="008A083E" w:rsidRPr="00F96C06">
        <w:rPr>
          <w:rFonts w:ascii="Times New Roman" w:hAnsi="Times New Roman" w:cs="Times New Roman"/>
          <w:sz w:val="24"/>
          <w:szCs w:val="24"/>
        </w:rPr>
        <w:t>;</w:t>
      </w:r>
      <w:r w:rsidRPr="00F96C06">
        <w:rPr>
          <w:rFonts w:ascii="Times New Roman" w:hAnsi="Times New Roman" w:cs="Times New Roman"/>
          <w:sz w:val="24"/>
          <w:szCs w:val="24"/>
        </w:rPr>
        <w:t xml:space="preserve"> SEC 1. </w:t>
      </w:r>
    </w:p>
  </w:footnote>
  <w:footnote w:id="22">
    <w:p w14:paraId="5E2E456D" w14:textId="55419A5C" w:rsidR="00A65DB6" w:rsidRPr="00F96C06" w:rsidRDefault="00A65DB6" w:rsidP="00A65DB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2, 4, 7.  One current member has frequently opposed enforcement.  See “SEC’s Newest Republican Emerges as One-Woman Party of ‘No,’” Bloomberg Law News, Securities &amp; Capital Markets, May 7, 2018; “SEC’s Peirce Details ‘The Why Behind the No’ Votes on Enforcement, </w:t>
      </w:r>
      <w:r w:rsidRPr="00F96C06">
        <w:rPr>
          <w:rFonts w:ascii="Times New Roman" w:hAnsi="Times New Roman" w:cs="Times New Roman"/>
          <w:i/>
          <w:iCs/>
          <w:sz w:val="24"/>
          <w:szCs w:val="24"/>
        </w:rPr>
        <w:t>id</w:t>
      </w:r>
      <w:r w:rsidRPr="00F96C06">
        <w:rPr>
          <w:rFonts w:ascii="Times New Roman" w:hAnsi="Times New Roman" w:cs="Times New Roman"/>
          <w:sz w:val="24"/>
          <w:szCs w:val="24"/>
        </w:rPr>
        <w:t xml:space="preserve">., May 11, 2018. </w:t>
      </w:r>
    </w:p>
  </w:footnote>
  <w:footnote w:id="23">
    <w:p w14:paraId="377AC2AC" w14:textId="77777777" w:rsidR="00D24DA1" w:rsidRPr="00F96C06" w:rsidRDefault="00D24DA1" w:rsidP="00D24DA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https://www.sec.gov/files/34-94820_0.pdf</w:t>
      </w:r>
    </w:p>
  </w:footnote>
  <w:footnote w:id="24">
    <w:p w14:paraId="33570551" w14:textId="1DD9B051"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Investigations must be approved by the relevant bureau directors, the Bureau of Economics, and the Evaluation Committee. </w:t>
      </w:r>
    </w:p>
  </w:footnote>
  <w:footnote w:id="25">
    <w:p w14:paraId="0BF35F15" w14:textId="434DC481" w:rsidR="00423E48" w:rsidRPr="00F96C06" w:rsidRDefault="00423E4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4. </w:t>
      </w:r>
      <w:r w:rsidR="0005235B" w:rsidRPr="00F96C06">
        <w:rPr>
          <w:rFonts w:ascii="Times New Roman" w:hAnsi="Times New Roman" w:cs="Times New Roman"/>
          <w:sz w:val="24"/>
          <w:szCs w:val="24"/>
        </w:rPr>
        <w:t>Many of the details of the FTC’s investigatory process were set forth in the FTC Operating Manual, but the Manual was withdrawn and is no longer available online.</w:t>
      </w:r>
    </w:p>
  </w:footnote>
  <w:footnote w:id="26">
    <w:p w14:paraId="4B78BDAB" w14:textId="77777777" w:rsidR="00404683" w:rsidRPr="00F96C06" w:rsidRDefault="00404683" w:rsidP="0040468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Numerous authors have expressed discomfort with the FTC’s combined-function structure. Carl A. Auerbach, </w:t>
      </w:r>
      <w:r w:rsidRPr="00F96C06">
        <w:rPr>
          <w:rFonts w:ascii="Times New Roman" w:hAnsi="Times New Roman" w:cs="Times New Roman"/>
          <w:i/>
          <w:iCs/>
          <w:sz w:val="24"/>
          <w:szCs w:val="24"/>
        </w:rPr>
        <w:t>The Federal Trade Commission: Internal Organization and Procedure,</w:t>
      </w:r>
      <w:r w:rsidRPr="00F96C06">
        <w:rPr>
          <w:rFonts w:ascii="Times New Roman" w:hAnsi="Times New Roman" w:cs="Times New Roman"/>
          <w:sz w:val="24"/>
          <w:szCs w:val="24"/>
        </w:rPr>
        <w:t xml:space="preserve"> 48 </w:t>
      </w:r>
      <w:r w:rsidRPr="00F96C06">
        <w:rPr>
          <w:rFonts w:ascii="Times New Roman" w:hAnsi="Times New Roman" w:cs="Times New Roman"/>
          <w:smallCaps/>
          <w:sz w:val="24"/>
          <w:szCs w:val="24"/>
        </w:rPr>
        <w:t xml:space="preserve">Minn. L Rev. </w:t>
      </w:r>
      <w:r w:rsidRPr="00F96C06">
        <w:rPr>
          <w:rFonts w:ascii="Times New Roman" w:hAnsi="Times New Roman" w:cs="Times New Roman"/>
          <w:sz w:val="24"/>
          <w:szCs w:val="24"/>
        </w:rPr>
        <w:t xml:space="preserve">383, 418-24 (1963); Terry Calvani, </w:t>
      </w:r>
      <w:r w:rsidRPr="00F96C06">
        <w:rPr>
          <w:rFonts w:ascii="Times New Roman" w:hAnsi="Times New Roman" w:cs="Times New Roman"/>
          <w:i/>
          <w:iCs/>
          <w:sz w:val="24"/>
          <w:szCs w:val="24"/>
        </w:rPr>
        <w:t>The Federal Trade Commission: A Proposal for Radical Change,</w:t>
      </w:r>
      <w:r w:rsidRPr="00F96C06">
        <w:rPr>
          <w:rFonts w:ascii="Times New Roman" w:hAnsi="Times New Roman" w:cs="Times New Roman"/>
          <w:sz w:val="24"/>
          <w:szCs w:val="24"/>
        </w:rPr>
        <w:t xml:space="preserve"> 34 </w:t>
      </w:r>
      <w:r w:rsidRPr="00F96C06">
        <w:rPr>
          <w:rFonts w:ascii="Times New Roman" w:hAnsi="Times New Roman" w:cs="Times New Roman"/>
          <w:smallCaps/>
          <w:sz w:val="24"/>
          <w:szCs w:val="24"/>
        </w:rPr>
        <w:t>Antitrust Bull</w:t>
      </w:r>
      <w:r w:rsidRPr="00F96C06">
        <w:rPr>
          <w:rFonts w:ascii="Times New Roman" w:hAnsi="Times New Roman" w:cs="Times New Roman"/>
          <w:sz w:val="24"/>
          <w:szCs w:val="24"/>
        </w:rPr>
        <w:t xml:space="preserve">. 185, 202-03  (1989); Committee on Trade Regulation, </w:t>
      </w:r>
      <w:r w:rsidRPr="00F96C06">
        <w:rPr>
          <w:rFonts w:ascii="Times New Roman" w:hAnsi="Times New Roman" w:cs="Times New Roman"/>
          <w:i/>
          <w:iCs/>
          <w:sz w:val="24"/>
          <w:szCs w:val="24"/>
        </w:rPr>
        <w:t>Federal Trade Commission Procedure for Issuance of Complaints,</w:t>
      </w:r>
      <w:r w:rsidRPr="00F96C06">
        <w:rPr>
          <w:rFonts w:ascii="Times New Roman" w:hAnsi="Times New Roman" w:cs="Times New Roman"/>
          <w:sz w:val="24"/>
          <w:szCs w:val="24"/>
        </w:rPr>
        <w:t xml:space="preserve"> 30 </w:t>
      </w:r>
      <w:r w:rsidRPr="00F96C06">
        <w:rPr>
          <w:rFonts w:ascii="Times New Roman" w:hAnsi="Times New Roman" w:cs="Times New Roman"/>
          <w:smallCaps/>
          <w:sz w:val="24"/>
          <w:szCs w:val="24"/>
        </w:rPr>
        <w:t>Rec. Ass’n Bar of City of NY</w:t>
      </w:r>
      <w:r w:rsidRPr="00F96C06">
        <w:rPr>
          <w:rFonts w:ascii="Times New Roman" w:hAnsi="Times New Roman" w:cs="Times New Roman"/>
          <w:sz w:val="24"/>
          <w:szCs w:val="24"/>
        </w:rPr>
        <w:t xml:space="preserve"> 213 (1975) (recommending creation of separate adjudicatory tribunal);  Philip Elman, </w:t>
      </w:r>
      <w:r w:rsidRPr="00F96C06">
        <w:rPr>
          <w:rFonts w:ascii="Times New Roman" w:hAnsi="Times New Roman" w:cs="Times New Roman"/>
          <w:i/>
          <w:iCs/>
          <w:sz w:val="24"/>
          <w:szCs w:val="24"/>
        </w:rPr>
        <w:t xml:space="preserve">Administrative Reform of the Federal Trade Commission, </w:t>
      </w:r>
      <w:r w:rsidRPr="00F96C06">
        <w:rPr>
          <w:rFonts w:ascii="Times New Roman" w:hAnsi="Times New Roman" w:cs="Times New Roman"/>
          <w:sz w:val="24"/>
          <w:szCs w:val="24"/>
        </w:rPr>
        <w:t xml:space="preserve">59 </w:t>
      </w:r>
      <w:r w:rsidRPr="00F96C06">
        <w:rPr>
          <w:rFonts w:ascii="Times New Roman" w:hAnsi="Times New Roman" w:cs="Times New Roman"/>
          <w:smallCaps/>
          <w:sz w:val="24"/>
          <w:szCs w:val="24"/>
        </w:rPr>
        <w:t>Georgetown L.J.</w:t>
      </w:r>
      <w:r w:rsidRPr="00F96C06">
        <w:rPr>
          <w:rFonts w:ascii="Times New Roman" w:hAnsi="Times New Roman" w:cs="Times New Roman"/>
          <w:sz w:val="24"/>
          <w:szCs w:val="24"/>
        </w:rPr>
        <w:t xml:space="preserve"> 777, 810-12 (1971).</w:t>
      </w:r>
    </w:p>
  </w:footnote>
  <w:footnote w:id="27">
    <w:p w14:paraId="4499E3A1" w14:textId="37D87E32" w:rsidR="00994784" w:rsidRPr="00F96C06" w:rsidRDefault="0099478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In 2014, over 95% of FTC consumer protection cases settled, most within 60 days  of issuance of the complaint.  See Prentiss Cox, Amy Widman &amp; Mark Totten, </w:t>
      </w:r>
      <w:r w:rsidRPr="00F96C06">
        <w:rPr>
          <w:rFonts w:ascii="Times New Roman" w:hAnsi="Times New Roman" w:cs="Times New Roman"/>
          <w:i/>
          <w:iCs/>
          <w:sz w:val="24"/>
          <w:szCs w:val="24"/>
        </w:rPr>
        <w:t>Strategies of Public UDAP Enforcement,</w:t>
      </w:r>
      <w:r w:rsidRPr="00F96C06">
        <w:rPr>
          <w:rFonts w:ascii="Times New Roman" w:hAnsi="Times New Roman" w:cs="Times New Roman"/>
          <w:sz w:val="24"/>
          <w:szCs w:val="24"/>
        </w:rPr>
        <w:t xml:space="preserve"> 55 </w:t>
      </w:r>
      <w:r w:rsidRPr="00F96C06">
        <w:rPr>
          <w:rFonts w:ascii="Times New Roman" w:hAnsi="Times New Roman" w:cs="Times New Roman"/>
          <w:smallCaps/>
          <w:sz w:val="24"/>
          <w:szCs w:val="24"/>
        </w:rPr>
        <w:t xml:space="preserve">Harv. J. on Legis. </w:t>
      </w:r>
      <w:r w:rsidRPr="00F96C06">
        <w:rPr>
          <w:rFonts w:ascii="Times New Roman" w:hAnsi="Times New Roman" w:cs="Times New Roman"/>
          <w:sz w:val="24"/>
          <w:szCs w:val="24"/>
        </w:rPr>
        <w:t xml:space="preserve">37, 63 (2018).  </w:t>
      </w:r>
    </w:p>
  </w:footnote>
  <w:footnote w:id="28">
    <w:p w14:paraId="7447514B" w14:textId="77777777"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1, 5. </w:t>
      </w:r>
    </w:p>
  </w:footnote>
  <w:footnote w:id="29">
    <w:p w14:paraId="1B52CF1E" w14:textId="169F519C" w:rsidR="00D64CDC" w:rsidRPr="00F96C06" w:rsidRDefault="00D64CD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0E6C04" w:rsidRPr="00F96C06">
        <w:rPr>
          <w:rFonts w:ascii="Times New Roman" w:hAnsi="Times New Roman" w:cs="Times New Roman"/>
          <w:sz w:val="24"/>
          <w:szCs w:val="24"/>
        </w:rPr>
        <w:t>FTC 1,</w:t>
      </w:r>
      <w:r w:rsidR="00163741" w:rsidRPr="00F96C06">
        <w:rPr>
          <w:rFonts w:ascii="Times New Roman" w:hAnsi="Times New Roman" w:cs="Times New Roman"/>
          <w:sz w:val="24"/>
          <w:szCs w:val="24"/>
        </w:rPr>
        <w:t xml:space="preserve"> 2</w:t>
      </w:r>
      <w:r w:rsidR="00423E48" w:rsidRPr="00F96C06">
        <w:rPr>
          <w:rFonts w:ascii="Times New Roman" w:hAnsi="Times New Roman" w:cs="Times New Roman"/>
          <w:sz w:val="24"/>
          <w:szCs w:val="24"/>
        </w:rPr>
        <w:t xml:space="preserve">, 3, 4, 5. </w:t>
      </w:r>
      <w:r w:rsidR="00163741"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This practice is discussed further in </w:t>
      </w:r>
      <w:r w:rsidR="00B5306E" w:rsidRPr="00F96C06">
        <w:rPr>
          <w:rFonts w:ascii="Times New Roman" w:hAnsi="Times New Roman" w:cs="Times New Roman"/>
          <w:sz w:val="24"/>
          <w:szCs w:val="24"/>
        </w:rPr>
        <w:t>Part V. B.</w:t>
      </w:r>
    </w:p>
  </w:footnote>
  <w:footnote w:id="30">
    <w:p w14:paraId="6D8F31E7" w14:textId="15B3DA45" w:rsidR="003121EB" w:rsidRPr="00F96C06" w:rsidRDefault="003121EB" w:rsidP="00B55BAB">
      <w:r w:rsidRPr="00F96C06">
        <w:rPr>
          <w:rStyle w:val="FootnoteReference"/>
        </w:rPr>
        <w:footnoteRef/>
      </w:r>
      <w:r w:rsidRPr="00F96C06">
        <w:t xml:space="preserve"> 15 U</w:t>
      </w:r>
      <w:r w:rsidR="00103A94" w:rsidRPr="00F96C06">
        <w:t>.</w:t>
      </w:r>
      <w:r w:rsidRPr="00F96C06">
        <w:t>S</w:t>
      </w:r>
      <w:r w:rsidR="00103A94" w:rsidRPr="00F96C06">
        <w:t>.</w:t>
      </w:r>
      <w:r w:rsidRPr="00F96C06">
        <w:t>C</w:t>
      </w:r>
      <w:r w:rsidR="00103A94" w:rsidRPr="00F96C06">
        <w:t>.</w:t>
      </w:r>
      <w:r w:rsidRPr="00F96C06">
        <w:t xml:space="preserve"> §45(b</w:t>
      </w:r>
      <w:r w:rsidR="006E7818" w:rsidRPr="00F96C06">
        <w:t>)</w:t>
      </w:r>
      <w:r w:rsidR="00111CF7" w:rsidRPr="00F96C06">
        <w:t>; 16 C</w:t>
      </w:r>
      <w:r w:rsidR="00A111F6" w:rsidRPr="00F96C06">
        <w:t>.</w:t>
      </w:r>
      <w:r w:rsidR="00111CF7" w:rsidRPr="00F96C06">
        <w:t>F</w:t>
      </w:r>
      <w:r w:rsidR="00A111F6" w:rsidRPr="00F96C06">
        <w:t>.</w:t>
      </w:r>
      <w:r w:rsidR="00111CF7" w:rsidRPr="00F96C06">
        <w:t>R</w:t>
      </w:r>
      <w:r w:rsidR="00A111F6" w:rsidRPr="00F96C06">
        <w:t>.</w:t>
      </w:r>
      <w:r w:rsidR="00111CF7" w:rsidRPr="00F96C06">
        <w:t xml:space="preserve"> §3.11(a). </w:t>
      </w:r>
      <w:r w:rsidRPr="00F96C06">
        <w:t xml:space="preserve"> </w:t>
      </w:r>
    </w:p>
  </w:footnote>
  <w:footnote w:id="31">
    <w:p w14:paraId="3E096F79" w14:textId="3AA1415B" w:rsidR="000E6C04" w:rsidRPr="00F96C06" w:rsidRDefault="000E6C0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1</w:t>
      </w:r>
      <w:r w:rsidR="00423E48" w:rsidRPr="00F96C06">
        <w:rPr>
          <w:rFonts w:ascii="Times New Roman" w:hAnsi="Times New Roman" w:cs="Times New Roman"/>
          <w:sz w:val="24"/>
          <w:szCs w:val="24"/>
        </w:rPr>
        <w:t>, 4, 5.</w:t>
      </w:r>
    </w:p>
  </w:footnote>
  <w:footnote w:id="32">
    <w:p w14:paraId="297A6C52" w14:textId="084F9B64"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3, </w:t>
      </w:r>
      <w:r w:rsidR="000E614B" w:rsidRPr="00F96C06">
        <w:rPr>
          <w:rFonts w:ascii="Times New Roman" w:hAnsi="Times New Roman" w:cs="Times New Roman"/>
          <w:sz w:val="24"/>
          <w:szCs w:val="24"/>
        </w:rPr>
        <w:t>4</w:t>
      </w:r>
      <w:r w:rsidR="007C42E0" w:rsidRPr="00F96C06">
        <w:rPr>
          <w:rFonts w:ascii="Times New Roman" w:hAnsi="Times New Roman" w:cs="Times New Roman"/>
          <w:sz w:val="24"/>
          <w:szCs w:val="24"/>
        </w:rPr>
        <w:t>, 5.</w:t>
      </w:r>
      <w:r w:rsidRPr="00F96C06">
        <w:rPr>
          <w:rFonts w:ascii="Times New Roman" w:hAnsi="Times New Roman" w:cs="Times New Roman"/>
          <w:sz w:val="24"/>
          <w:szCs w:val="24"/>
        </w:rPr>
        <w:t xml:space="preserve">  According to FTC 3, charging decisions are made by the chair unless overridden by the votes of three commissioners.  In addition, the chair appoints senior staff members who reflect the chair‘s views about enforcement priorities. </w:t>
      </w:r>
      <w:r w:rsidR="00972BBB" w:rsidRPr="00F96C06">
        <w:rPr>
          <w:rFonts w:ascii="Times New Roman" w:hAnsi="Times New Roman" w:cs="Times New Roman"/>
          <w:sz w:val="24"/>
          <w:szCs w:val="24"/>
        </w:rPr>
        <w:t xml:space="preserve"> </w:t>
      </w:r>
      <w:r w:rsidR="00A111F6" w:rsidRPr="00F96C06">
        <w:rPr>
          <w:rFonts w:ascii="Times New Roman" w:hAnsi="Times New Roman" w:cs="Times New Roman"/>
          <w:sz w:val="24"/>
          <w:szCs w:val="24"/>
        </w:rPr>
        <w:t xml:space="preserve">In July 2022, </w:t>
      </w:r>
      <w:r w:rsidR="00972BBB" w:rsidRPr="00F96C06">
        <w:rPr>
          <w:rFonts w:ascii="Times New Roman" w:hAnsi="Times New Roman" w:cs="Times New Roman"/>
          <w:sz w:val="24"/>
          <w:szCs w:val="24"/>
        </w:rPr>
        <w:t xml:space="preserve">the FTC decided (by a 3-2 vote) to </w:t>
      </w:r>
      <w:r w:rsidR="00972BBB" w:rsidRPr="00F96C06">
        <w:rPr>
          <w:rFonts w:ascii="Times New Roman" w:hAnsi="Times New Roman" w:cs="Times New Roman"/>
          <w:i/>
          <w:iCs/>
          <w:sz w:val="24"/>
          <w:szCs w:val="24"/>
        </w:rPr>
        <w:t>reject</w:t>
      </w:r>
      <w:r w:rsidR="00972BBB" w:rsidRPr="00F96C06">
        <w:rPr>
          <w:rFonts w:ascii="Times New Roman" w:hAnsi="Times New Roman" w:cs="Times New Roman"/>
          <w:sz w:val="24"/>
          <w:szCs w:val="24"/>
        </w:rPr>
        <w:t xml:space="preserve"> the staff’s advice and sue to </w:t>
      </w:r>
      <w:r w:rsidR="009614F1" w:rsidRPr="00F96C06">
        <w:rPr>
          <w:rFonts w:ascii="Times New Roman" w:hAnsi="Times New Roman" w:cs="Times New Roman"/>
          <w:sz w:val="24"/>
          <w:szCs w:val="24"/>
        </w:rPr>
        <w:t xml:space="preserve">block </w:t>
      </w:r>
      <w:r w:rsidR="00972BBB" w:rsidRPr="00F96C06">
        <w:rPr>
          <w:rFonts w:ascii="Times New Roman" w:hAnsi="Times New Roman" w:cs="Times New Roman"/>
          <w:sz w:val="24"/>
          <w:szCs w:val="24"/>
        </w:rPr>
        <w:t xml:space="preserve">Meta from acquiring Within.  </w:t>
      </w:r>
      <w:hyperlink r:id="rId2" w:history="1">
        <w:r w:rsidR="00E91B53" w:rsidRPr="00F96C06">
          <w:rPr>
            <w:rStyle w:val="Hyperlink"/>
            <w:rFonts w:ascii="Times New Roman" w:hAnsi="Times New Roman" w:cs="Times New Roman"/>
            <w:sz w:val="24"/>
            <w:szCs w:val="24"/>
          </w:rPr>
          <w:t>https://www.msn.com/en-us/money/other/ftc-staff-reportedly-recommended-against-suing-meta/ar-AA106AfG</w:t>
        </w:r>
      </w:hyperlink>
      <w:r w:rsidR="00E91B53" w:rsidRPr="00F96C06">
        <w:rPr>
          <w:rFonts w:ascii="Times New Roman" w:hAnsi="Times New Roman" w:cs="Times New Roman"/>
          <w:sz w:val="24"/>
          <w:szCs w:val="24"/>
        </w:rPr>
        <w:t xml:space="preserve">  </w:t>
      </w:r>
      <w:r w:rsidR="00972BBB" w:rsidRPr="00F96C06">
        <w:rPr>
          <w:rFonts w:ascii="Times New Roman" w:hAnsi="Times New Roman" w:cs="Times New Roman"/>
          <w:sz w:val="24"/>
          <w:szCs w:val="24"/>
        </w:rPr>
        <w:t>This is a</w:t>
      </w:r>
      <w:r w:rsidR="00AF56B1" w:rsidRPr="00F96C06">
        <w:rPr>
          <w:rFonts w:ascii="Times New Roman" w:hAnsi="Times New Roman" w:cs="Times New Roman"/>
          <w:sz w:val="24"/>
          <w:szCs w:val="24"/>
        </w:rPr>
        <w:t>n</w:t>
      </w:r>
      <w:r w:rsidR="00972BBB" w:rsidRPr="00F96C06">
        <w:rPr>
          <w:rFonts w:ascii="Times New Roman" w:hAnsi="Times New Roman" w:cs="Times New Roman"/>
          <w:sz w:val="24"/>
          <w:szCs w:val="24"/>
        </w:rPr>
        <w:t xml:space="preserve"> example of the use of </w:t>
      </w:r>
      <w:r w:rsidR="00AF56B1" w:rsidRPr="00F96C06">
        <w:rPr>
          <w:rFonts w:ascii="Times New Roman" w:hAnsi="Times New Roman" w:cs="Times New Roman"/>
          <w:sz w:val="24"/>
          <w:szCs w:val="24"/>
        </w:rPr>
        <w:t xml:space="preserve">the </w:t>
      </w:r>
      <w:r w:rsidR="00972BBB" w:rsidRPr="00F96C06">
        <w:rPr>
          <w:rFonts w:ascii="Times New Roman" w:hAnsi="Times New Roman" w:cs="Times New Roman"/>
          <w:sz w:val="24"/>
          <w:szCs w:val="24"/>
        </w:rPr>
        <w:t xml:space="preserve">greenlighting </w:t>
      </w:r>
      <w:r w:rsidR="00AF56B1" w:rsidRPr="00F96C06">
        <w:rPr>
          <w:rFonts w:ascii="Times New Roman" w:hAnsi="Times New Roman" w:cs="Times New Roman"/>
          <w:sz w:val="24"/>
          <w:szCs w:val="24"/>
        </w:rPr>
        <w:t xml:space="preserve">process </w:t>
      </w:r>
      <w:r w:rsidR="00972BBB" w:rsidRPr="00F96C06">
        <w:rPr>
          <w:rFonts w:ascii="Times New Roman" w:hAnsi="Times New Roman" w:cs="Times New Roman"/>
          <w:sz w:val="24"/>
          <w:szCs w:val="24"/>
        </w:rPr>
        <w:t xml:space="preserve">to </w:t>
      </w:r>
      <w:r w:rsidR="00E91B53" w:rsidRPr="00F96C06">
        <w:rPr>
          <w:rFonts w:ascii="Times New Roman" w:hAnsi="Times New Roman" w:cs="Times New Roman"/>
          <w:sz w:val="24"/>
          <w:szCs w:val="24"/>
        </w:rPr>
        <w:t xml:space="preserve">correct misalignment of </w:t>
      </w:r>
      <w:r w:rsidR="00972BBB" w:rsidRPr="00F96C06">
        <w:rPr>
          <w:rFonts w:ascii="Times New Roman" w:hAnsi="Times New Roman" w:cs="Times New Roman"/>
          <w:sz w:val="24"/>
          <w:szCs w:val="24"/>
        </w:rPr>
        <w:t xml:space="preserve"> </w:t>
      </w:r>
      <w:r w:rsidR="00E91B53" w:rsidRPr="00F96C06">
        <w:rPr>
          <w:rFonts w:ascii="Times New Roman" w:hAnsi="Times New Roman" w:cs="Times New Roman"/>
          <w:sz w:val="24"/>
          <w:szCs w:val="24"/>
        </w:rPr>
        <w:t xml:space="preserve">agency head and staff priorities.  </w:t>
      </w:r>
      <w:r w:rsidR="00972BBB" w:rsidRPr="00F96C06">
        <w:rPr>
          <w:rFonts w:ascii="Times New Roman" w:hAnsi="Times New Roman" w:cs="Times New Roman"/>
          <w:sz w:val="24"/>
          <w:szCs w:val="24"/>
        </w:rPr>
        <w:t xml:space="preserve">See text at </w:t>
      </w:r>
      <w:r w:rsidR="009614F1" w:rsidRPr="00F96C06">
        <w:rPr>
          <w:rFonts w:ascii="Times New Roman" w:hAnsi="Times New Roman" w:cs="Times New Roman"/>
          <w:sz w:val="24"/>
          <w:szCs w:val="24"/>
        </w:rPr>
        <w:t xml:space="preserve">note 109, </w:t>
      </w:r>
      <w:r w:rsidR="009614F1" w:rsidRPr="00F96C06">
        <w:rPr>
          <w:rFonts w:ascii="Times New Roman" w:hAnsi="Times New Roman" w:cs="Times New Roman"/>
          <w:i/>
          <w:iCs/>
          <w:sz w:val="24"/>
          <w:szCs w:val="24"/>
        </w:rPr>
        <w:t>infra</w:t>
      </w:r>
      <w:r w:rsidR="009614F1" w:rsidRPr="00F96C06">
        <w:rPr>
          <w:rFonts w:ascii="Times New Roman" w:hAnsi="Times New Roman" w:cs="Times New Roman"/>
          <w:sz w:val="24"/>
          <w:szCs w:val="24"/>
        </w:rPr>
        <w:t>.</w:t>
      </w:r>
      <w:r w:rsidR="00972BBB" w:rsidRPr="00F96C06">
        <w:rPr>
          <w:rFonts w:ascii="Times New Roman" w:hAnsi="Times New Roman" w:cs="Times New Roman"/>
          <w:sz w:val="24"/>
          <w:szCs w:val="24"/>
        </w:rPr>
        <w:t xml:space="preserve"> </w:t>
      </w:r>
    </w:p>
  </w:footnote>
  <w:footnote w:id="33">
    <w:p w14:paraId="33930956" w14:textId="519067C5" w:rsidR="003121EB" w:rsidRPr="00F96C06" w:rsidRDefault="003121EB" w:rsidP="00DE02C7">
      <w:r w:rsidRPr="00F96C06">
        <w:rPr>
          <w:rStyle w:val="FootnoteReference"/>
        </w:rPr>
        <w:footnoteRef/>
      </w:r>
      <w:r w:rsidRPr="00F96C06">
        <w:t xml:space="preserve"> See Christopher S. Yoo, Thomas Fetzer, Shan Jiang, &amp; Yong Huang, </w:t>
      </w:r>
      <w:r w:rsidRPr="00F96C06">
        <w:rPr>
          <w:i/>
          <w:iCs/>
        </w:rPr>
        <w:t>Due Process in Antitrust Enforcement: Normative and Comparative Perspectives,</w:t>
      </w:r>
      <w:r w:rsidRPr="00F96C06">
        <w:t xml:space="preserve"> 94 </w:t>
      </w:r>
      <w:r w:rsidRPr="00F96C06">
        <w:rPr>
          <w:smallCaps/>
        </w:rPr>
        <w:t>So. Calif. L. Rev.</w:t>
      </w:r>
      <w:r w:rsidRPr="00F96C06">
        <w:t xml:space="preserve"> </w:t>
      </w:r>
      <w:r w:rsidR="006B04C7" w:rsidRPr="00F96C06">
        <w:t>843</w:t>
      </w:r>
      <w:r w:rsidR="00DF5572" w:rsidRPr="00F96C06">
        <w:t>, 912-14</w:t>
      </w:r>
      <w:r w:rsidRPr="00F96C06">
        <w:t xml:space="preserve"> (2021)</w:t>
      </w:r>
      <w:r w:rsidR="00DC2210" w:rsidRPr="00F96C06">
        <w:t xml:space="preserve">; </w:t>
      </w:r>
      <w:r w:rsidR="00EA6BB9" w:rsidRPr="00F96C06">
        <w:t xml:space="preserve">Frazier, </w:t>
      </w:r>
      <w:r w:rsidR="00EA6BB9" w:rsidRPr="00F96C06">
        <w:rPr>
          <w:i/>
          <w:iCs/>
        </w:rPr>
        <w:t>supra</w:t>
      </w:r>
      <w:r w:rsidR="00EA6BB9" w:rsidRPr="00F96C06">
        <w:t xml:space="preserve"> note </w:t>
      </w:r>
      <w:r w:rsidR="00103A94" w:rsidRPr="00F96C06">
        <w:t>8</w:t>
      </w:r>
      <w:r w:rsidR="00EA6BB9" w:rsidRPr="00F96C06">
        <w:t xml:space="preserve"> </w:t>
      </w:r>
      <w:r w:rsidR="00DC2210" w:rsidRPr="00F96C06">
        <w:t>(c</w:t>
      </w:r>
      <w:r w:rsidR="00EA6BB9" w:rsidRPr="00F96C06">
        <w:t xml:space="preserve">alling for </w:t>
      </w:r>
      <w:r w:rsidR="00DF5572" w:rsidRPr="00F96C06">
        <w:t xml:space="preserve">additional </w:t>
      </w:r>
      <w:r w:rsidR="00EA6BB9" w:rsidRPr="00F96C06">
        <w:t xml:space="preserve">public participation in </w:t>
      </w:r>
      <w:r w:rsidR="00994784" w:rsidRPr="00F96C06">
        <w:t xml:space="preserve">FTC </w:t>
      </w:r>
      <w:r w:rsidR="00EA6BB9" w:rsidRPr="00F96C06">
        <w:t>settlement</w:t>
      </w:r>
      <w:r w:rsidR="00DF5572" w:rsidRPr="00F96C06">
        <w:t xml:space="preserve"> decisions</w:t>
      </w:r>
      <w:r w:rsidR="00EA6BB9" w:rsidRPr="00F96C06">
        <w:t>).</w:t>
      </w:r>
    </w:p>
  </w:footnote>
  <w:footnote w:id="34">
    <w:p w14:paraId="21E45F2F" w14:textId="2641D9F3" w:rsidR="00396286" w:rsidRPr="00F96C06" w:rsidRDefault="0039628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hyperlink r:id="rId3" w:history="1">
        <w:r w:rsidR="00CF6B69" w:rsidRPr="00F96C06">
          <w:rPr>
            <w:rStyle w:val="Hyperlink"/>
            <w:rFonts w:ascii="Times New Roman" w:hAnsi="Times New Roman" w:cs="Times New Roman"/>
            <w:sz w:val="24"/>
            <w:szCs w:val="24"/>
          </w:rPr>
          <w:t>https://www.ftc.gov/reports/annual-highlights-2020/stats-data-2020</w:t>
        </w:r>
      </w:hyperlink>
      <w:r w:rsidR="00CF6B69" w:rsidRPr="00F96C06">
        <w:rPr>
          <w:rFonts w:ascii="Times New Roman" w:hAnsi="Times New Roman" w:cs="Times New Roman"/>
          <w:sz w:val="24"/>
          <w:szCs w:val="24"/>
        </w:rPr>
        <w:t xml:space="preserve">.  At the time this article was written, the FTC had not released its 2021 annual report. </w:t>
      </w:r>
    </w:p>
  </w:footnote>
  <w:footnote w:id="35">
    <w:p w14:paraId="5783CEC8" w14:textId="751B63A0" w:rsidR="00614DE3" w:rsidRPr="00F96C06" w:rsidRDefault="00614DE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smallCaps/>
          <w:sz w:val="24"/>
          <w:szCs w:val="24"/>
        </w:rPr>
        <w:t xml:space="preserve">FCC Enforcement </w:t>
      </w:r>
      <w:r w:rsidR="00BE70B3" w:rsidRPr="00F96C06">
        <w:rPr>
          <w:rFonts w:ascii="Times New Roman" w:hAnsi="Times New Roman" w:cs="Times New Roman"/>
          <w:smallCaps/>
          <w:sz w:val="24"/>
          <w:szCs w:val="24"/>
        </w:rPr>
        <w:t xml:space="preserve">Overview </w:t>
      </w:r>
      <w:r w:rsidRPr="00F96C06">
        <w:rPr>
          <w:rFonts w:ascii="Times New Roman" w:hAnsi="Times New Roman" w:cs="Times New Roman"/>
          <w:sz w:val="24"/>
          <w:szCs w:val="24"/>
        </w:rPr>
        <w:t>4-10 (2020)</w:t>
      </w:r>
      <w:r w:rsidR="00106B09" w:rsidRPr="00F96C06">
        <w:rPr>
          <w:rFonts w:ascii="Times New Roman" w:hAnsi="Times New Roman" w:cs="Times New Roman"/>
          <w:sz w:val="24"/>
          <w:szCs w:val="24"/>
        </w:rPr>
        <w:t xml:space="preserve"> (hereinafter </w:t>
      </w:r>
      <w:r w:rsidR="00106B09" w:rsidRPr="00F96C06">
        <w:rPr>
          <w:rFonts w:ascii="Times New Roman" w:hAnsi="Times New Roman" w:cs="Times New Roman"/>
          <w:smallCaps/>
          <w:sz w:val="24"/>
          <w:szCs w:val="24"/>
        </w:rPr>
        <w:t>Enforcement Overview</w:t>
      </w:r>
      <w:r w:rsidR="00106B09" w:rsidRPr="00F96C06">
        <w:rPr>
          <w:rFonts w:ascii="Times New Roman" w:hAnsi="Times New Roman" w:cs="Times New Roman"/>
          <w:sz w:val="24"/>
          <w:szCs w:val="24"/>
        </w:rPr>
        <w:t>)</w:t>
      </w:r>
      <w:r w:rsidRPr="00F96C06">
        <w:rPr>
          <w:rFonts w:ascii="Times New Roman" w:hAnsi="Times New Roman" w:cs="Times New Roman"/>
          <w:sz w:val="24"/>
          <w:szCs w:val="24"/>
        </w:rPr>
        <w:t>.</w:t>
      </w:r>
    </w:p>
  </w:footnote>
  <w:footnote w:id="36">
    <w:p w14:paraId="734962D3" w14:textId="1BFBE140" w:rsidR="00464715" w:rsidRPr="00F96C06" w:rsidRDefault="00464715" w:rsidP="0046471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1; </w:t>
      </w:r>
      <w:r w:rsidRPr="00F96C06">
        <w:rPr>
          <w:rFonts w:ascii="Times New Roman" w:hAnsi="Times New Roman" w:cs="Times New Roman"/>
          <w:smallCaps/>
          <w:sz w:val="24"/>
          <w:szCs w:val="24"/>
        </w:rPr>
        <w:t xml:space="preserve">Enforcement </w:t>
      </w:r>
      <w:r w:rsidR="00BE70B3" w:rsidRPr="00F96C06">
        <w:rPr>
          <w:rFonts w:ascii="Times New Roman" w:hAnsi="Times New Roman" w:cs="Times New Roman"/>
          <w:smallCaps/>
          <w:sz w:val="24"/>
          <w:szCs w:val="24"/>
        </w:rPr>
        <w:t>Overview</w:t>
      </w:r>
      <w:r w:rsidR="00BE70B3" w:rsidRPr="00F96C06">
        <w:rPr>
          <w:rFonts w:ascii="Times New Roman" w:hAnsi="Times New Roman" w:cs="Times New Roman"/>
          <w:sz w:val="24"/>
          <w:szCs w:val="24"/>
        </w:rPr>
        <w:t xml:space="preserve"> </w:t>
      </w:r>
      <w:r w:rsidRPr="00F96C06">
        <w:rPr>
          <w:rFonts w:ascii="Times New Roman" w:hAnsi="Times New Roman" w:cs="Times New Roman"/>
          <w:sz w:val="24"/>
          <w:szCs w:val="24"/>
        </w:rPr>
        <w:t>19</w:t>
      </w:r>
    </w:p>
  </w:footnote>
  <w:footnote w:id="37">
    <w:p w14:paraId="6161200D" w14:textId="77777777" w:rsidR="00464715" w:rsidRPr="00F96C06" w:rsidRDefault="00464715" w:rsidP="0046471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4.</w:t>
      </w:r>
    </w:p>
  </w:footnote>
  <w:footnote w:id="38">
    <w:p w14:paraId="0A78B707" w14:textId="77777777" w:rsidR="00464715" w:rsidRPr="00F96C06" w:rsidRDefault="00464715" w:rsidP="0046471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4. </w:t>
      </w:r>
    </w:p>
  </w:footnote>
  <w:footnote w:id="39">
    <w:p w14:paraId="6DD56273" w14:textId="157B420B" w:rsidR="00FD7FD9" w:rsidRPr="00F96C06" w:rsidRDefault="00FD7FD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This practice is further discussed in </w:t>
      </w:r>
      <w:r w:rsidR="00B5306E" w:rsidRPr="00F96C06">
        <w:rPr>
          <w:rFonts w:ascii="Times New Roman" w:hAnsi="Times New Roman" w:cs="Times New Roman"/>
          <w:sz w:val="24"/>
          <w:szCs w:val="24"/>
        </w:rPr>
        <w:t>Part V.B.</w:t>
      </w:r>
    </w:p>
  </w:footnote>
  <w:footnote w:id="40">
    <w:p w14:paraId="5FA8F0B7" w14:textId="03FE2388" w:rsidR="00311CB4" w:rsidRPr="00F96C06" w:rsidRDefault="00311CB4" w:rsidP="00311CB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Details of the Commission’s consideration of forfeiture cases are provided in 47 U.S.C. §503(b)(3) and (4); </w:t>
      </w:r>
      <w:r w:rsidR="00106B09" w:rsidRPr="00F96C06">
        <w:rPr>
          <w:rFonts w:ascii="Times New Roman" w:hAnsi="Times New Roman" w:cs="Times New Roman"/>
          <w:sz w:val="24"/>
          <w:szCs w:val="24"/>
        </w:rPr>
        <w:t xml:space="preserve"> </w:t>
      </w:r>
      <w:r w:rsidRPr="00F96C06">
        <w:rPr>
          <w:rFonts w:ascii="Times New Roman" w:hAnsi="Times New Roman" w:cs="Times New Roman"/>
          <w:smallCaps/>
          <w:sz w:val="24"/>
          <w:szCs w:val="24"/>
        </w:rPr>
        <w:t xml:space="preserve">Enforcement Overview </w:t>
      </w:r>
      <w:r w:rsidRPr="00F96C06">
        <w:rPr>
          <w:rFonts w:ascii="Times New Roman" w:hAnsi="Times New Roman" w:cs="Times New Roman"/>
          <w:sz w:val="24"/>
          <w:szCs w:val="24"/>
        </w:rPr>
        <w:t xml:space="preserve">14-18. </w:t>
      </w:r>
    </w:p>
  </w:footnote>
  <w:footnote w:id="41">
    <w:p w14:paraId="6182FC4C" w14:textId="3F6F253F" w:rsidR="008841A0" w:rsidRPr="00F96C06" w:rsidRDefault="008841A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smallCaps/>
          <w:sz w:val="24"/>
          <w:szCs w:val="24"/>
        </w:rPr>
        <w:t>Enforcement Overview</w:t>
      </w:r>
      <w:r w:rsidRPr="00F96C06">
        <w:rPr>
          <w:rFonts w:ascii="Times New Roman" w:hAnsi="Times New Roman" w:cs="Times New Roman"/>
          <w:sz w:val="24"/>
          <w:szCs w:val="24"/>
        </w:rPr>
        <w:t xml:space="preserve"> 21. </w:t>
      </w:r>
    </w:p>
  </w:footnote>
  <w:footnote w:id="42">
    <w:p w14:paraId="3876895F" w14:textId="2C46230E" w:rsidR="00464715" w:rsidRPr="00F96C06" w:rsidRDefault="0046471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1, 4.</w:t>
      </w:r>
    </w:p>
  </w:footnote>
  <w:footnote w:id="43">
    <w:p w14:paraId="7C6CEBDA" w14:textId="32950884" w:rsidR="00C87166" w:rsidRPr="00F96C06" w:rsidRDefault="00C8716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1. </w:t>
      </w:r>
    </w:p>
  </w:footnote>
  <w:footnote w:id="44">
    <w:p w14:paraId="6572EA93" w14:textId="47704CF9"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For a summary of FERC’s enforcement process</w:t>
      </w:r>
      <w:r w:rsidR="008D6138" w:rsidRPr="00F96C06">
        <w:rPr>
          <w:rFonts w:ascii="Times New Roman" w:hAnsi="Times New Roman" w:cs="Times New Roman"/>
          <w:sz w:val="24"/>
          <w:szCs w:val="24"/>
        </w:rPr>
        <w:t>,</w:t>
      </w:r>
      <w:r w:rsidRPr="00F96C06">
        <w:rPr>
          <w:rFonts w:ascii="Times New Roman" w:hAnsi="Times New Roman" w:cs="Times New Roman"/>
          <w:sz w:val="24"/>
          <w:szCs w:val="24"/>
        </w:rPr>
        <w:t xml:space="preserve"> see </w:t>
      </w:r>
      <w:r w:rsidR="004877A3" w:rsidRPr="00F96C06">
        <w:rPr>
          <w:rFonts w:ascii="Times New Roman" w:hAnsi="Times New Roman" w:cs="Times New Roman"/>
          <w:sz w:val="24"/>
          <w:szCs w:val="24"/>
        </w:rPr>
        <w:t xml:space="preserve">Total Gas &amp; Power North America v. FERC, 850 F.3d 325 (5th Cir. 2017); </w:t>
      </w:r>
      <w:r w:rsidR="00246080" w:rsidRPr="00F96C06">
        <w:rPr>
          <w:rFonts w:ascii="Times New Roman" w:hAnsi="Times New Roman" w:cs="Times New Roman"/>
          <w:sz w:val="24"/>
          <w:szCs w:val="24"/>
        </w:rPr>
        <w:t xml:space="preserve">Todd Mullins &amp; Chris McEachran, </w:t>
      </w:r>
      <w:r w:rsidR="00246080" w:rsidRPr="00F96C06">
        <w:rPr>
          <w:rFonts w:ascii="Times New Roman" w:hAnsi="Times New Roman" w:cs="Times New Roman"/>
          <w:i/>
          <w:iCs/>
          <w:sz w:val="24"/>
          <w:szCs w:val="24"/>
        </w:rPr>
        <w:t>Adjudication of FERC Enforcement Cases: “See You in Court?”</w:t>
      </w:r>
      <w:r w:rsidR="00246080" w:rsidRPr="00F96C06">
        <w:rPr>
          <w:rFonts w:ascii="Times New Roman" w:hAnsi="Times New Roman" w:cs="Times New Roman"/>
          <w:sz w:val="24"/>
          <w:szCs w:val="24"/>
        </w:rPr>
        <w:t xml:space="preserve"> 36 </w:t>
      </w:r>
      <w:r w:rsidR="00246080" w:rsidRPr="00F96C06">
        <w:rPr>
          <w:rFonts w:ascii="Times New Roman" w:hAnsi="Times New Roman" w:cs="Times New Roman"/>
          <w:smallCaps/>
          <w:sz w:val="24"/>
          <w:szCs w:val="24"/>
        </w:rPr>
        <w:t>Energy L. J.</w:t>
      </w:r>
      <w:r w:rsidR="00246080" w:rsidRPr="00F96C06">
        <w:rPr>
          <w:rFonts w:ascii="Times New Roman" w:hAnsi="Times New Roman" w:cs="Times New Roman"/>
          <w:sz w:val="24"/>
          <w:szCs w:val="24"/>
        </w:rPr>
        <w:t xml:space="preserve"> 261 (1015); </w:t>
      </w:r>
      <w:r w:rsidRPr="00F96C06">
        <w:rPr>
          <w:rFonts w:ascii="Times New Roman" w:hAnsi="Times New Roman" w:cs="Times New Roman"/>
          <w:sz w:val="24"/>
          <w:szCs w:val="24"/>
        </w:rPr>
        <w:t xml:space="preserve">Allison Murphy, Todd Hettenbach, &amp; Thomas Olson, </w:t>
      </w:r>
      <w:r w:rsidRPr="00F96C06">
        <w:rPr>
          <w:rFonts w:ascii="Times New Roman" w:hAnsi="Times New Roman" w:cs="Times New Roman"/>
          <w:i/>
          <w:iCs/>
          <w:sz w:val="24"/>
          <w:szCs w:val="24"/>
        </w:rPr>
        <w:t xml:space="preserve">The FERC Enforcement Process, </w:t>
      </w:r>
      <w:r w:rsidRPr="00F96C06">
        <w:rPr>
          <w:rFonts w:ascii="Times New Roman" w:hAnsi="Times New Roman" w:cs="Times New Roman"/>
          <w:sz w:val="24"/>
          <w:szCs w:val="24"/>
        </w:rPr>
        <w:t xml:space="preserve">35 </w:t>
      </w:r>
      <w:r w:rsidRPr="00F96C06">
        <w:rPr>
          <w:rFonts w:ascii="Times New Roman" w:hAnsi="Times New Roman" w:cs="Times New Roman"/>
          <w:smallCaps/>
          <w:sz w:val="24"/>
          <w:szCs w:val="24"/>
        </w:rPr>
        <w:t>Energy L. J.</w:t>
      </w:r>
      <w:r w:rsidRPr="00F96C06">
        <w:rPr>
          <w:rFonts w:ascii="Times New Roman" w:hAnsi="Times New Roman" w:cs="Times New Roman"/>
          <w:sz w:val="24"/>
          <w:szCs w:val="24"/>
        </w:rPr>
        <w:t xml:space="preserve"> 283, 291-97 (2014) (hereinafter Murphy); </w:t>
      </w:r>
      <w:r w:rsidRPr="00F96C06">
        <w:rPr>
          <w:rFonts w:ascii="Times New Roman" w:hAnsi="Times New Roman" w:cs="Times New Roman"/>
          <w:i/>
          <w:iCs/>
          <w:sz w:val="24"/>
          <w:szCs w:val="24"/>
        </w:rPr>
        <w:t>Revised Policy Statement on Enforcement,</w:t>
      </w:r>
      <w:r w:rsidRPr="00F96C06">
        <w:rPr>
          <w:rFonts w:ascii="Times New Roman" w:hAnsi="Times New Roman" w:cs="Times New Roman"/>
          <w:sz w:val="24"/>
          <w:szCs w:val="24"/>
        </w:rPr>
        <w:t xml:space="preserve"> 123 FERC ¶61156, ¶¶20-40 </w:t>
      </w:r>
      <w:r w:rsidR="00F60444" w:rsidRPr="00F96C06">
        <w:rPr>
          <w:rFonts w:ascii="Times New Roman" w:hAnsi="Times New Roman" w:cs="Times New Roman"/>
          <w:sz w:val="24"/>
          <w:szCs w:val="24"/>
        </w:rPr>
        <w:t xml:space="preserve">(2008) </w:t>
      </w:r>
      <w:r w:rsidRPr="00F96C06">
        <w:rPr>
          <w:rFonts w:ascii="Times New Roman" w:hAnsi="Times New Roman" w:cs="Times New Roman"/>
          <w:sz w:val="24"/>
          <w:szCs w:val="24"/>
        </w:rPr>
        <w:t xml:space="preserve">(hereinafter </w:t>
      </w:r>
      <w:r w:rsidRPr="00F96C06">
        <w:rPr>
          <w:rFonts w:ascii="Times New Roman" w:hAnsi="Times New Roman" w:cs="Times New Roman"/>
          <w:i/>
          <w:iCs/>
          <w:sz w:val="24"/>
          <w:szCs w:val="24"/>
        </w:rPr>
        <w:t>Policy Statement</w:t>
      </w:r>
      <w:r w:rsidRPr="00F96C06">
        <w:rPr>
          <w:rFonts w:ascii="Times New Roman" w:hAnsi="Times New Roman" w:cs="Times New Roman"/>
          <w:sz w:val="24"/>
          <w:szCs w:val="24"/>
        </w:rPr>
        <w:t xml:space="preserve">).  </w:t>
      </w:r>
    </w:p>
  </w:footnote>
  <w:footnote w:id="45">
    <w:p w14:paraId="251122C9" w14:textId="77777777" w:rsidR="00020E58" w:rsidRPr="00F96C06" w:rsidRDefault="00020E58" w:rsidP="00020E5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5, 6. https://www.ferc.gov/media/fiscal-year-2021-annual-report-enforcement</w:t>
      </w:r>
    </w:p>
  </w:footnote>
  <w:footnote w:id="46">
    <w:p w14:paraId="46C0E3F7" w14:textId="0E9CA180" w:rsidR="000547D8" w:rsidRPr="00F96C06" w:rsidRDefault="000547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3</w:t>
      </w:r>
      <w:r w:rsidR="00371634" w:rsidRPr="00F96C06">
        <w:rPr>
          <w:rFonts w:ascii="Times New Roman" w:hAnsi="Times New Roman" w:cs="Times New Roman"/>
          <w:sz w:val="24"/>
          <w:szCs w:val="24"/>
        </w:rPr>
        <w:t xml:space="preserve">, 6. </w:t>
      </w:r>
    </w:p>
  </w:footnote>
  <w:footnote w:id="47">
    <w:p w14:paraId="5D5A56F8" w14:textId="5667C7F5" w:rsidR="003C356D" w:rsidRPr="00F96C06" w:rsidRDefault="003C356D">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2,</w:t>
      </w:r>
      <w:r w:rsidR="000478B7" w:rsidRPr="00F96C06">
        <w:rPr>
          <w:rFonts w:ascii="Times New Roman" w:hAnsi="Times New Roman" w:cs="Times New Roman"/>
          <w:sz w:val="24"/>
          <w:szCs w:val="24"/>
        </w:rPr>
        <w:t xml:space="preserve"> </w:t>
      </w:r>
      <w:r w:rsidRPr="00F96C06">
        <w:rPr>
          <w:rFonts w:ascii="Times New Roman" w:hAnsi="Times New Roman" w:cs="Times New Roman"/>
          <w:sz w:val="24"/>
          <w:szCs w:val="24"/>
        </w:rPr>
        <w:t>3, 5.</w:t>
      </w:r>
    </w:p>
  </w:footnote>
  <w:footnote w:id="48">
    <w:p w14:paraId="3A9916E0" w14:textId="2CE68D56"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D858D9" w:rsidRPr="00F96C06">
        <w:rPr>
          <w:rFonts w:ascii="Times New Roman" w:hAnsi="Times New Roman" w:cs="Times New Roman"/>
          <w:sz w:val="24"/>
          <w:szCs w:val="24"/>
        </w:rPr>
        <w:t xml:space="preserve">The rule permitting targets to communicate with commissioners in writing dates </w:t>
      </w:r>
      <w:r w:rsidR="00F60444" w:rsidRPr="00F96C06">
        <w:rPr>
          <w:rFonts w:ascii="Times New Roman" w:hAnsi="Times New Roman" w:cs="Times New Roman"/>
          <w:sz w:val="24"/>
          <w:szCs w:val="24"/>
        </w:rPr>
        <w:t xml:space="preserve">back </w:t>
      </w:r>
      <w:r w:rsidR="00D858D9" w:rsidRPr="00F96C06">
        <w:rPr>
          <w:rFonts w:ascii="Times New Roman" w:hAnsi="Times New Roman" w:cs="Times New Roman"/>
          <w:sz w:val="24"/>
          <w:szCs w:val="24"/>
        </w:rPr>
        <w:t>to 2008</w:t>
      </w:r>
      <w:r w:rsidR="00971516" w:rsidRPr="00F96C06">
        <w:rPr>
          <w:rFonts w:ascii="Times New Roman" w:hAnsi="Times New Roman" w:cs="Times New Roman"/>
          <w:sz w:val="24"/>
          <w:szCs w:val="24"/>
        </w:rPr>
        <w:t>. P</w:t>
      </w:r>
      <w:r w:rsidR="00D858D9" w:rsidRPr="00F96C06">
        <w:rPr>
          <w:rFonts w:ascii="Times New Roman" w:hAnsi="Times New Roman" w:cs="Times New Roman"/>
          <w:sz w:val="24"/>
          <w:szCs w:val="24"/>
        </w:rPr>
        <w:t xml:space="preserve">rior to that time, both oral and written communications were permitted.  </w:t>
      </w:r>
      <w:r w:rsidR="002103A0" w:rsidRPr="00F96C06">
        <w:rPr>
          <w:rFonts w:ascii="Times New Roman" w:hAnsi="Times New Roman" w:cs="Times New Roman"/>
          <w:sz w:val="24"/>
          <w:szCs w:val="24"/>
        </w:rPr>
        <w:t>FERC 1</w:t>
      </w:r>
      <w:r w:rsidR="000B34DC" w:rsidRPr="00F96C06">
        <w:rPr>
          <w:rFonts w:ascii="Times New Roman" w:hAnsi="Times New Roman" w:cs="Times New Roman"/>
          <w:sz w:val="24"/>
          <w:szCs w:val="24"/>
        </w:rPr>
        <w:t>, 2</w:t>
      </w:r>
      <w:r w:rsidR="00D858D9" w:rsidRPr="00F96C06">
        <w:rPr>
          <w:rFonts w:ascii="Times New Roman" w:hAnsi="Times New Roman" w:cs="Times New Roman"/>
          <w:sz w:val="24"/>
          <w:szCs w:val="24"/>
        </w:rPr>
        <w:t>, 3</w:t>
      </w:r>
      <w:r w:rsidR="00EC0171" w:rsidRPr="00F96C06">
        <w:rPr>
          <w:rFonts w:ascii="Times New Roman" w:hAnsi="Times New Roman" w:cs="Times New Roman"/>
          <w:sz w:val="24"/>
          <w:szCs w:val="24"/>
        </w:rPr>
        <w:t xml:space="preserve">, 5, 6. </w:t>
      </w:r>
      <w:r w:rsidRPr="00F96C06">
        <w:rPr>
          <w:rFonts w:ascii="Times New Roman" w:hAnsi="Times New Roman" w:cs="Times New Roman"/>
          <w:sz w:val="24"/>
          <w:szCs w:val="24"/>
        </w:rPr>
        <w:t>Murphy</w:t>
      </w:r>
      <w:r w:rsidR="00106B09" w:rsidRPr="00F96C06">
        <w:rPr>
          <w:rFonts w:ascii="Times New Roman" w:hAnsi="Times New Roman" w:cs="Times New Roman"/>
          <w:sz w:val="24"/>
          <w:szCs w:val="24"/>
        </w:rPr>
        <w:t xml:space="preserve">, </w:t>
      </w:r>
      <w:r w:rsidR="00106B09"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DA569D" w:rsidRPr="00F96C06">
        <w:rPr>
          <w:rFonts w:ascii="Times New Roman" w:hAnsi="Times New Roman" w:cs="Times New Roman"/>
          <w:sz w:val="24"/>
          <w:szCs w:val="24"/>
        </w:rPr>
        <w:t>4</w:t>
      </w:r>
      <w:r w:rsidR="00106B09" w:rsidRPr="00F96C06">
        <w:rPr>
          <w:rFonts w:ascii="Times New Roman" w:hAnsi="Times New Roman" w:cs="Times New Roman"/>
          <w:sz w:val="24"/>
          <w:szCs w:val="24"/>
        </w:rPr>
        <w:t>4</w:t>
      </w:r>
      <w:r w:rsidRPr="00F96C06">
        <w:rPr>
          <w:rFonts w:ascii="Times New Roman" w:hAnsi="Times New Roman" w:cs="Times New Roman"/>
          <w:sz w:val="24"/>
          <w:szCs w:val="24"/>
        </w:rPr>
        <w:t xml:space="preserve"> at 292-93; </w:t>
      </w:r>
      <w:r w:rsidRPr="00F96C06">
        <w:rPr>
          <w:rFonts w:ascii="Times New Roman" w:hAnsi="Times New Roman" w:cs="Times New Roman"/>
          <w:i/>
          <w:iCs/>
          <w:sz w:val="24"/>
          <w:szCs w:val="24"/>
        </w:rPr>
        <w:t>Policy Statement</w:t>
      </w:r>
      <w:r w:rsidRPr="00F96C06">
        <w:rPr>
          <w:rFonts w:ascii="Times New Roman" w:hAnsi="Times New Roman" w:cs="Times New Roman"/>
          <w:sz w:val="24"/>
          <w:szCs w:val="24"/>
        </w:rPr>
        <w:t xml:space="preserve"> ¶27. </w:t>
      </w:r>
      <w:r w:rsidR="00AB3B95" w:rsidRPr="00F96C06">
        <w:rPr>
          <w:rFonts w:ascii="Times New Roman" w:hAnsi="Times New Roman" w:cs="Times New Roman"/>
          <w:sz w:val="24"/>
          <w:szCs w:val="24"/>
        </w:rPr>
        <w:t>For further discussion of th</w:t>
      </w:r>
      <w:r w:rsidR="00371634" w:rsidRPr="00F96C06">
        <w:rPr>
          <w:rFonts w:ascii="Times New Roman" w:hAnsi="Times New Roman" w:cs="Times New Roman"/>
          <w:sz w:val="24"/>
          <w:szCs w:val="24"/>
        </w:rPr>
        <w:t>is</w:t>
      </w:r>
      <w:r w:rsidR="00AB3B95" w:rsidRPr="00F96C06">
        <w:rPr>
          <w:rFonts w:ascii="Times New Roman" w:hAnsi="Times New Roman" w:cs="Times New Roman"/>
          <w:sz w:val="24"/>
          <w:szCs w:val="24"/>
        </w:rPr>
        <w:t xml:space="preserve"> practice</w:t>
      </w:r>
      <w:r w:rsidR="00371634" w:rsidRPr="00F96C06">
        <w:rPr>
          <w:rFonts w:ascii="Times New Roman" w:hAnsi="Times New Roman" w:cs="Times New Roman"/>
          <w:sz w:val="24"/>
          <w:szCs w:val="24"/>
        </w:rPr>
        <w:t xml:space="preserve">, </w:t>
      </w:r>
      <w:r w:rsidR="00AB3B95" w:rsidRPr="00F96C06">
        <w:rPr>
          <w:rFonts w:ascii="Times New Roman" w:hAnsi="Times New Roman" w:cs="Times New Roman"/>
          <w:sz w:val="24"/>
          <w:szCs w:val="24"/>
        </w:rPr>
        <w:t>see Part V.B.</w:t>
      </w:r>
    </w:p>
  </w:footnote>
  <w:footnote w:id="49">
    <w:p w14:paraId="39584294" w14:textId="00CB7C13" w:rsidR="005573ED" w:rsidRPr="00F96C06" w:rsidRDefault="005573ED">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6C7E0F" w:rsidRPr="00F96C06">
        <w:rPr>
          <w:rFonts w:ascii="Times New Roman" w:hAnsi="Times New Roman" w:cs="Times New Roman"/>
          <w:sz w:val="24"/>
          <w:szCs w:val="24"/>
        </w:rPr>
        <w:t>Generally,</w:t>
      </w:r>
      <w:r w:rsidR="003C356D" w:rsidRPr="00F96C06">
        <w:rPr>
          <w:rFonts w:ascii="Times New Roman" w:hAnsi="Times New Roman" w:cs="Times New Roman"/>
          <w:sz w:val="24"/>
          <w:szCs w:val="24"/>
        </w:rPr>
        <w:t xml:space="preserve"> the decision whether to use compulsory process is up to the chair. FERC 6.</w:t>
      </w:r>
    </w:p>
  </w:footnote>
  <w:footnote w:id="50">
    <w:p w14:paraId="408F91B8" w14:textId="7A783E20" w:rsidR="0094366A" w:rsidRPr="00F96C06" w:rsidRDefault="0094366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w:t>
      </w:r>
      <w:r w:rsidR="008021BA" w:rsidRPr="00F96C06">
        <w:rPr>
          <w:rFonts w:ascii="Times New Roman" w:hAnsi="Times New Roman" w:cs="Times New Roman"/>
          <w:sz w:val="24"/>
          <w:szCs w:val="24"/>
        </w:rPr>
        <w:t>5</w:t>
      </w:r>
    </w:p>
  </w:footnote>
  <w:footnote w:id="51">
    <w:p w14:paraId="4D2DB837" w14:textId="5B9FCF50" w:rsidR="003121EB" w:rsidRPr="00F96C06" w:rsidRDefault="003121EB" w:rsidP="00B542D5">
      <w:r w:rsidRPr="00F96C06">
        <w:rPr>
          <w:rStyle w:val="FootnoteReference"/>
        </w:rPr>
        <w:footnoteRef/>
      </w:r>
      <w:r w:rsidRPr="00F96C06">
        <w:t xml:space="preserve"> </w:t>
      </w:r>
      <w:r w:rsidRPr="00F96C06">
        <w:rPr>
          <w:shd w:val="clear" w:color="auto" w:fill="FFFFFF"/>
        </w:rPr>
        <w:t xml:space="preserve"> Murphy</w:t>
      </w:r>
      <w:r w:rsidR="00DA569D" w:rsidRPr="00F96C06">
        <w:rPr>
          <w:shd w:val="clear" w:color="auto" w:fill="FFFFFF"/>
        </w:rPr>
        <w:t>, note 4</w:t>
      </w:r>
      <w:r w:rsidR="00D01CBE" w:rsidRPr="00F96C06">
        <w:rPr>
          <w:shd w:val="clear" w:color="auto" w:fill="FFFFFF"/>
        </w:rPr>
        <w:t>4</w:t>
      </w:r>
      <w:r w:rsidR="00DA569D" w:rsidRPr="00F96C06">
        <w:rPr>
          <w:shd w:val="clear" w:color="auto" w:fill="FFFFFF"/>
        </w:rPr>
        <w:t xml:space="preserve"> at</w:t>
      </w:r>
      <w:r w:rsidRPr="00F96C06">
        <w:rPr>
          <w:shd w:val="clear" w:color="auto" w:fill="FFFFFF"/>
        </w:rPr>
        <w:t xml:space="preserve"> 294; </w:t>
      </w:r>
      <w:r w:rsidRPr="00F96C06">
        <w:rPr>
          <w:i/>
          <w:iCs/>
          <w:shd w:val="clear" w:color="auto" w:fill="FFFFFF"/>
        </w:rPr>
        <w:t>Policy Statement</w:t>
      </w:r>
      <w:r w:rsidRPr="00F96C06">
        <w:rPr>
          <w:shd w:val="clear" w:color="auto" w:fill="FFFFFF"/>
        </w:rPr>
        <w:t xml:space="preserve"> ¶32.  </w:t>
      </w:r>
    </w:p>
  </w:footnote>
  <w:footnote w:id="52">
    <w:p w14:paraId="49FE0D89" w14:textId="164040B1" w:rsidR="00EC0171" w:rsidRPr="00F96C06" w:rsidRDefault="00EC017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w:t>
      </w:r>
      <w:r w:rsidR="003C356D" w:rsidRPr="00F96C06">
        <w:rPr>
          <w:rFonts w:ascii="Times New Roman" w:hAnsi="Times New Roman" w:cs="Times New Roman"/>
          <w:sz w:val="24"/>
          <w:szCs w:val="24"/>
        </w:rPr>
        <w:t xml:space="preserve">4, </w:t>
      </w:r>
      <w:r w:rsidR="008021BA" w:rsidRPr="00F96C06">
        <w:rPr>
          <w:rFonts w:ascii="Times New Roman" w:hAnsi="Times New Roman" w:cs="Times New Roman"/>
          <w:sz w:val="24"/>
          <w:szCs w:val="24"/>
        </w:rPr>
        <w:t>5</w:t>
      </w:r>
      <w:r w:rsidRPr="00F96C06">
        <w:rPr>
          <w:rFonts w:ascii="Times New Roman" w:hAnsi="Times New Roman" w:cs="Times New Roman"/>
          <w:sz w:val="24"/>
          <w:szCs w:val="24"/>
        </w:rPr>
        <w:t xml:space="preserve">. </w:t>
      </w:r>
    </w:p>
  </w:footnote>
  <w:footnote w:id="53">
    <w:p w14:paraId="6E01041F" w14:textId="04BDC11F"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eastAsia="Times New Roman" w:hAnsi="Times New Roman" w:cs="Times New Roman"/>
          <w:sz w:val="24"/>
          <w:szCs w:val="24"/>
          <w:shd w:val="clear" w:color="auto" w:fill="FFFFFF"/>
        </w:rPr>
        <w:t xml:space="preserve"> Murphy</w:t>
      </w:r>
      <w:r w:rsidR="00DA569D" w:rsidRPr="00F96C06">
        <w:rPr>
          <w:rFonts w:ascii="Times New Roman" w:eastAsia="Times New Roman" w:hAnsi="Times New Roman" w:cs="Times New Roman"/>
          <w:sz w:val="24"/>
          <w:szCs w:val="24"/>
          <w:shd w:val="clear" w:color="auto" w:fill="FFFFFF"/>
        </w:rPr>
        <w:t>, note 4</w:t>
      </w:r>
      <w:r w:rsidR="00D01CBE" w:rsidRPr="00F96C06">
        <w:rPr>
          <w:rFonts w:ascii="Times New Roman" w:eastAsia="Times New Roman" w:hAnsi="Times New Roman" w:cs="Times New Roman"/>
          <w:sz w:val="24"/>
          <w:szCs w:val="24"/>
          <w:shd w:val="clear" w:color="auto" w:fill="FFFFFF"/>
        </w:rPr>
        <w:t>4</w:t>
      </w:r>
      <w:r w:rsidR="00DA569D" w:rsidRPr="00F96C06">
        <w:rPr>
          <w:rFonts w:ascii="Times New Roman" w:eastAsia="Times New Roman" w:hAnsi="Times New Roman" w:cs="Times New Roman"/>
          <w:sz w:val="24"/>
          <w:szCs w:val="24"/>
          <w:shd w:val="clear" w:color="auto" w:fill="FFFFFF"/>
        </w:rPr>
        <w:t xml:space="preserve"> at</w:t>
      </w:r>
      <w:r w:rsidRPr="00F96C06">
        <w:rPr>
          <w:rFonts w:ascii="Times New Roman" w:eastAsia="Times New Roman" w:hAnsi="Times New Roman" w:cs="Times New Roman"/>
          <w:sz w:val="24"/>
          <w:szCs w:val="24"/>
          <w:shd w:val="clear" w:color="auto" w:fill="FFFFFF"/>
        </w:rPr>
        <w:t xml:space="preserve"> 294-5;</w:t>
      </w:r>
      <w:r w:rsidR="008021BA" w:rsidRPr="00F96C06">
        <w:rPr>
          <w:rFonts w:ascii="Times New Roman" w:eastAsia="Times New Roman" w:hAnsi="Times New Roman" w:cs="Times New Roman"/>
          <w:sz w:val="24"/>
          <w:szCs w:val="24"/>
          <w:shd w:val="clear" w:color="auto" w:fill="FFFFFF"/>
        </w:rPr>
        <w:t xml:space="preserve"> </w:t>
      </w:r>
      <w:r w:rsidRPr="00F96C06">
        <w:rPr>
          <w:rFonts w:ascii="Times New Roman" w:eastAsia="Times New Roman" w:hAnsi="Times New Roman" w:cs="Times New Roman"/>
          <w:i/>
          <w:iCs/>
          <w:sz w:val="24"/>
          <w:szCs w:val="24"/>
          <w:shd w:val="clear" w:color="auto" w:fill="FFFFFF"/>
        </w:rPr>
        <w:t>Policy Statement</w:t>
      </w:r>
      <w:r w:rsidRPr="00F96C06">
        <w:rPr>
          <w:rFonts w:ascii="Times New Roman" w:eastAsia="Times New Roman" w:hAnsi="Times New Roman" w:cs="Times New Roman"/>
          <w:sz w:val="24"/>
          <w:szCs w:val="24"/>
          <w:shd w:val="clear" w:color="auto" w:fill="FFFFFF"/>
        </w:rPr>
        <w:t xml:space="preserve"> ¶35</w:t>
      </w:r>
      <w:r w:rsidR="003C356D" w:rsidRPr="00F96C06">
        <w:rPr>
          <w:rFonts w:ascii="Times New Roman" w:eastAsia="Times New Roman" w:hAnsi="Times New Roman" w:cs="Times New Roman"/>
          <w:sz w:val="24"/>
          <w:szCs w:val="24"/>
          <w:shd w:val="clear" w:color="auto" w:fill="FFFFFF"/>
        </w:rPr>
        <w:t>.</w:t>
      </w:r>
    </w:p>
  </w:footnote>
  <w:footnote w:id="54">
    <w:p w14:paraId="06BD6ADD" w14:textId="298348C1" w:rsidR="00D858D9" w:rsidRPr="00F96C06" w:rsidRDefault="00D858D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3</w:t>
      </w:r>
      <w:r w:rsidR="00EC0171" w:rsidRPr="00F96C06">
        <w:rPr>
          <w:rFonts w:ascii="Times New Roman" w:hAnsi="Times New Roman" w:cs="Times New Roman"/>
          <w:sz w:val="24"/>
          <w:szCs w:val="24"/>
        </w:rPr>
        <w:t xml:space="preserve">, </w:t>
      </w:r>
      <w:r w:rsidR="003C356D" w:rsidRPr="00F96C06">
        <w:rPr>
          <w:rFonts w:ascii="Times New Roman" w:hAnsi="Times New Roman" w:cs="Times New Roman"/>
          <w:sz w:val="24"/>
          <w:szCs w:val="24"/>
        </w:rPr>
        <w:t xml:space="preserve">4, </w:t>
      </w:r>
      <w:r w:rsidR="00EC0171" w:rsidRPr="00F96C06">
        <w:rPr>
          <w:rFonts w:ascii="Times New Roman" w:hAnsi="Times New Roman" w:cs="Times New Roman"/>
          <w:sz w:val="24"/>
          <w:szCs w:val="24"/>
        </w:rPr>
        <w:t>5, 6</w:t>
      </w:r>
      <w:r w:rsidRPr="00F96C06">
        <w:rPr>
          <w:rFonts w:ascii="Times New Roman" w:hAnsi="Times New Roman" w:cs="Times New Roman"/>
          <w:sz w:val="24"/>
          <w:szCs w:val="24"/>
        </w:rPr>
        <w:t xml:space="preserve">. </w:t>
      </w:r>
      <w:r w:rsidR="005573ED" w:rsidRPr="00F96C06">
        <w:rPr>
          <w:rFonts w:ascii="Times New Roman" w:hAnsi="Times New Roman" w:cs="Times New Roman"/>
          <w:sz w:val="24"/>
          <w:szCs w:val="24"/>
        </w:rPr>
        <w:t>Cases involving regulated utilities nearly always settle. Cases involving energy market manipulation are le</w:t>
      </w:r>
      <w:r w:rsidR="001F103E" w:rsidRPr="00F96C06">
        <w:rPr>
          <w:rFonts w:ascii="Times New Roman" w:hAnsi="Times New Roman" w:cs="Times New Roman"/>
          <w:sz w:val="24"/>
          <w:szCs w:val="24"/>
        </w:rPr>
        <w:t>ss</w:t>
      </w:r>
      <w:r w:rsidR="005573ED" w:rsidRPr="00F96C06">
        <w:rPr>
          <w:rFonts w:ascii="Times New Roman" w:hAnsi="Times New Roman" w:cs="Times New Roman"/>
          <w:sz w:val="24"/>
          <w:szCs w:val="24"/>
        </w:rPr>
        <w:t xml:space="preserve"> likely to settle. FERC 5. </w:t>
      </w:r>
    </w:p>
  </w:footnote>
  <w:footnote w:id="55">
    <w:p w14:paraId="001CBA61" w14:textId="67B9F931" w:rsidR="005573ED" w:rsidRPr="00F96C06" w:rsidRDefault="005573ED" w:rsidP="005573ED">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5 thought </w:t>
      </w:r>
      <w:r w:rsidR="00773F25" w:rsidRPr="00F96C06">
        <w:rPr>
          <w:rFonts w:ascii="Times New Roman" w:hAnsi="Times New Roman" w:cs="Times New Roman"/>
          <w:sz w:val="24"/>
          <w:szCs w:val="24"/>
        </w:rPr>
        <w:t xml:space="preserve">the settlement authorization process </w:t>
      </w:r>
      <w:r w:rsidRPr="00F96C06">
        <w:rPr>
          <w:rFonts w:ascii="Times New Roman" w:hAnsi="Times New Roman" w:cs="Times New Roman"/>
          <w:sz w:val="24"/>
          <w:szCs w:val="24"/>
        </w:rPr>
        <w:t xml:space="preserve">was a </w:t>
      </w:r>
      <w:r w:rsidR="00773F25" w:rsidRPr="00F96C06">
        <w:rPr>
          <w:rFonts w:ascii="Times New Roman" w:hAnsi="Times New Roman" w:cs="Times New Roman"/>
          <w:sz w:val="24"/>
          <w:szCs w:val="24"/>
        </w:rPr>
        <w:t xml:space="preserve">significant </w:t>
      </w:r>
      <w:r w:rsidRPr="00F96C06">
        <w:rPr>
          <w:rFonts w:ascii="Times New Roman" w:hAnsi="Times New Roman" w:cs="Times New Roman"/>
          <w:sz w:val="24"/>
          <w:szCs w:val="24"/>
        </w:rPr>
        <w:t>check on prosecutor</w:t>
      </w:r>
      <w:r w:rsidR="00773F25" w:rsidRPr="00F96C06">
        <w:rPr>
          <w:rFonts w:ascii="Times New Roman" w:hAnsi="Times New Roman" w:cs="Times New Roman"/>
          <w:sz w:val="24"/>
          <w:szCs w:val="24"/>
        </w:rPr>
        <w:t>ial discretion</w:t>
      </w:r>
      <w:r w:rsidRPr="00F96C06">
        <w:rPr>
          <w:rFonts w:ascii="Times New Roman" w:hAnsi="Times New Roman" w:cs="Times New Roman"/>
          <w:sz w:val="24"/>
          <w:szCs w:val="24"/>
        </w:rPr>
        <w:t>. FERC 4</w:t>
      </w:r>
      <w:r w:rsidR="003C356D" w:rsidRPr="00F96C06">
        <w:rPr>
          <w:rFonts w:ascii="Times New Roman" w:hAnsi="Times New Roman" w:cs="Times New Roman"/>
          <w:sz w:val="24"/>
          <w:szCs w:val="24"/>
        </w:rPr>
        <w:t xml:space="preserve"> and 6 </w:t>
      </w:r>
      <w:r w:rsidRPr="00F96C06">
        <w:rPr>
          <w:rFonts w:ascii="Times New Roman" w:hAnsi="Times New Roman" w:cs="Times New Roman"/>
          <w:sz w:val="24"/>
          <w:szCs w:val="24"/>
        </w:rPr>
        <w:t xml:space="preserve"> thought it was useful for staff to get an early re</w:t>
      </w:r>
      <w:r w:rsidR="003C356D" w:rsidRPr="00F96C06">
        <w:rPr>
          <w:rFonts w:ascii="Times New Roman" w:hAnsi="Times New Roman" w:cs="Times New Roman"/>
          <w:sz w:val="24"/>
          <w:szCs w:val="24"/>
        </w:rPr>
        <w:t>a</w:t>
      </w:r>
      <w:r w:rsidRPr="00F96C06">
        <w:rPr>
          <w:rFonts w:ascii="Times New Roman" w:hAnsi="Times New Roman" w:cs="Times New Roman"/>
          <w:sz w:val="24"/>
          <w:szCs w:val="24"/>
        </w:rPr>
        <w:t xml:space="preserve">d from commissioners about the merits of the case. </w:t>
      </w:r>
      <w:r w:rsidR="003C356D" w:rsidRPr="00F96C06">
        <w:rPr>
          <w:rFonts w:ascii="Times New Roman" w:hAnsi="Times New Roman" w:cs="Times New Roman"/>
          <w:sz w:val="24"/>
          <w:szCs w:val="24"/>
        </w:rPr>
        <w:t xml:space="preserve">But FERC 5 and 6 thought it </w:t>
      </w:r>
      <w:r w:rsidR="00773F25" w:rsidRPr="00F96C06">
        <w:rPr>
          <w:rFonts w:ascii="Times New Roman" w:hAnsi="Times New Roman" w:cs="Times New Roman"/>
          <w:sz w:val="24"/>
          <w:szCs w:val="24"/>
        </w:rPr>
        <w:t xml:space="preserve">was of little utility and </w:t>
      </w:r>
      <w:r w:rsidR="003C356D" w:rsidRPr="00F96C06">
        <w:rPr>
          <w:rFonts w:ascii="Times New Roman" w:hAnsi="Times New Roman" w:cs="Times New Roman"/>
          <w:sz w:val="24"/>
          <w:szCs w:val="24"/>
        </w:rPr>
        <w:t xml:space="preserve">contributed to delay in resolving cases. </w:t>
      </w:r>
      <w:r w:rsidR="00F60444" w:rsidRPr="00F96C06">
        <w:rPr>
          <w:rFonts w:ascii="Times New Roman" w:hAnsi="Times New Roman" w:cs="Times New Roman"/>
          <w:sz w:val="24"/>
          <w:szCs w:val="24"/>
        </w:rPr>
        <w:t xml:space="preserve"> </w:t>
      </w:r>
    </w:p>
  </w:footnote>
  <w:footnote w:id="56">
    <w:p w14:paraId="380819EA" w14:textId="65782A4C"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8B4648" w:rsidRPr="00F96C06">
        <w:rPr>
          <w:rFonts w:ascii="Times New Roman" w:hAnsi="Times New Roman" w:cs="Times New Roman"/>
          <w:sz w:val="24"/>
          <w:szCs w:val="24"/>
          <w:shd w:val="clear" w:color="auto" w:fill="FFFFFF"/>
        </w:rPr>
        <w:t>“Such notice shall provide sufficient information and facts to enable the entity to provide a response.”</w:t>
      </w:r>
      <w:r w:rsidRPr="00F96C06">
        <w:rPr>
          <w:rFonts w:ascii="Times New Roman" w:hAnsi="Times New Roman" w:cs="Times New Roman"/>
          <w:sz w:val="24"/>
          <w:szCs w:val="24"/>
        </w:rPr>
        <w:t>18 C</w:t>
      </w:r>
      <w:r w:rsidR="00D01CBE" w:rsidRPr="00F96C06">
        <w:rPr>
          <w:rFonts w:ascii="Times New Roman" w:hAnsi="Times New Roman" w:cs="Times New Roman"/>
          <w:sz w:val="24"/>
          <w:szCs w:val="24"/>
        </w:rPr>
        <w:t>.</w:t>
      </w:r>
      <w:r w:rsidRPr="00F96C06">
        <w:rPr>
          <w:rFonts w:ascii="Times New Roman" w:hAnsi="Times New Roman" w:cs="Times New Roman"/>
          <w:sz w:val="24"/>
          <w:szCs w:val="24"/>
        </w:rPr>
        <w:t>F</w:t>
      </w:r>
      <w:r w:rsidR="00D01CBE" w:rsidRPr="00F96C06">
        <w:rPr>
          <w:rFonts w:ascii="Times New Roman" w:hAnsi="Times New Roman" w:cs="Times New Roman"/>
          <w:sz w:val="24"/>
          <w:szCs w:val="24"/>
        </w:rPr>
        <w:t>.</w:t>
      </w:r>
      <w:r w:rsidRPr="00F96C06">
        <w:rPr>
          <w:rFonts w:ascii="Times New Roman" w:hAnsi="Times New Roman" w:cs="Times New Roman"/>
          <w:sz w:val="24"/>
          <w:szCs w:val="24"/>
        </w:rPr>
        <w:t>R</w:t>
      </w:r>
      <w:r w:rsidR="00D01CBE" w:rsidRPr="00F96C06">
        <w:rPr>
          <w:rFonts w:ascii="Times New Roman" w:hAnsi="Times New Roman" w:cs="Times New Roman"/>
          <w:sz w:val="24"/>
          <w:szCs w:val="24"/>
        </w:rPr>
        <w:t>.</w:t>
      </w:r>
      <w:r w:rsidRPr="00F96C06">
        <w:rPr>
          <w:rFonts w:ascii="Times New Roman" w:hAnsi="Times New Roman" w:cs="Times New Roman"/>
          <w:sz w:val="24"/>
          <w:szCs w:val="24"/>
        </w:rPr>
        <w:t xml:space="preserve"> §1b.19. </w:t>
      </w:r>
    </w:p>
  </w:footnote>
  <w:footnote w:id="57">
    <w:p w14:paraId="29D6FB34" w14:textId="64574957"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DA569D" w:rsidRPr="00F96C06">
        <w:rPr>
          <w:rFonts w:ascii="Times New Roman" w:hAnsi="Times New Roman" w:cs="Times New Roman"/>
          <w:sz w:val="24"/>
          <w:szCs w:val="24"/>
        </w:rPr>
        <w:t>Part II. A.</w:t>
      </w:r>
      <w:r w:rsidRPr="00F96C06">
        <w:rPr>
          <w:rFonts w:ascii="Times New Roman" w:hAnsi="Times New Roman" w:cs="Times New Roman"/>
          <w:sz w:val="24"/>
          <w:szCs w:val="24"/>
        </w:rPr>
        <w:t xml:space="preserve"> </w:t>
      </w:r>
      <w:r w:rsidR="009C6166" w:rsidRPr="00F96C06">
        <w:rPr>
          <w:rFonts w:ascii="Times New Roman" w:hAnsi="Times New Roman" w:cs="Times New Roman"/>
          <w:sz w:val="24"/>
          <w:szCs w:val="24"/>
        </w:rPr>
        <w:t xml:space="preserve">FERC staff is supposed to disclose exculpatory material that falls under the criminal-law </w:t>
      </w:r>
      <w:r w:rsidR="009C6166" w:rsidRPr="00F96C06">
        <w:rPr>
          <w:rFonts w:ascii="Times New Roman" w:hAnsi="Times New Roman" w:cs="Times New Roman"/>
          <w:i/>
          <w:iCs/>
          <w:sz w:val="24"/>
          <w:szCs w:val="24"/>
        </w:rPr>
        <w:t>Brady</w:t>
      </w:r>
      <w:r w:rsidR="009C6166" w:rsidRPr="00F96C06">
        <w:rPr>
          <w:rFonts w:ascii="Times New Roman" w:hAnsi="Times New Roman" w:cs="Times New Roman"/>
          <w:sz w:val="24"/>
          <w:szCs w:val="24"/>
        </w:rPr>
        <w:t xml:space="preserve"> standard, but some defense lawyers argue that it does not do so. See FERC 2, 5. </w:t>
      </w:r>
      <w:r w:rsidRPr="00F96C06">
        <w:rPr>
          <w:rFonts w:ascii="Times New Roman" w:eastAsia="Times New Roman" w:hAnsi="Times New Roman" w:cs="Times New Roman"/>
          <w:i/>
          <w:iCs/>
          <w:sz w:val="24"/>
          <w:szCs w:val="24"/>
          <w:shd w:val="clear" w:color="auto" w:fill="FFFFFF"/>
        </w:rPr>
        <w:t>See</w:t>
      </w:r>
      <w:r w:rsidRPr="00F96C06">
        <w:rPr>
          <w:rFonts w:ascii="Times New Roman" w:eastAsia="Times New Roman" w:hAnsi="Times New Roman" w:cs="Times New Roman"/>
          <w:sz w:val="24"/>
          <w:szCs w:val="24"/>
          <w:shd w:val="clear" w:color="auto" w:fill="FFFFFF"/>
        </w:rPr>
        <w:t xml:space="preserve"> William S. Scherman, Brandon C. Johnson,</w:t>
      </w:r>
      <w:r w:rsidR="008673B1" w:rsidRPr="00F96C06">
        <w:rPr>
          <w:rFonts w:ascii="Times New Roman" w:eastAsia="Times New Roman" w:hAnsi="Times New Roman" w:cs="Times New Roman"/>
          <w:sz w:val="24"/>
          <w:szCs w:val="24"/>
          <w:shd w:val="clear" w:color="auto" w:fill="FFFFFF"/>
        </w:rPr>
        <w:t xml:space="preserve"> &amp; </w:t>
      </w:r>
      <w:r w:rsidRPr="00F96C06">
        <w:rPr>
          <w:rFonts w:ascii="Times New Roman" w:eastAsia="Times New Roman" w:hAnsi="Times New Roman" w:cs="Times New Roman"/>
          <w:sz w:val="24"/>
          <w:szCs w:val="24"/>
          <w:shd w:val="clear" w:color="auto" w:fill="FFFFFF"/>
        </w:rPr>
        <w:t xml:space="preserve">James J. Fletcher, </w:t>
      </w:r>
      <w:r w:rsidRPr="00F96C06">
        <w:rPr>
          <w:rFonts w:ascii="Times New Roman" w:eastAsia="Times New Roman" w:hAnsi="Times New Roman" w:cs="Times New Roman"/>
          <w:i/>
          <w:iCs/>
          <w:sz w:val="24"/>
          <w:szCs w:val="24"/>
          <w:shd w:val="clear" w:color="auto" w:fill="FFFFFF"/>
        </w:rPr>
        <w:t>The FERC Enforcement Process: Time for Structural Due Process and Substantive Reforms,</w:t>
      </w:r>
      <w:r w:rsidRPr="00F96C06">
        <w:rPr>
          <w:rFonts w:ascii="Times New Roman" w:eastAsia="Times New Roman" w:hAnsi="Times New Roman" w:cs="Times New Roman"/>
          <w:sz w:val="24"/>
          <w:szCs w:val="24"/>
          <w:shd w:val="clear" w:color="auto" w:fill="FFFFFF"/>
        </w:rPr>
        <w:t xml:space="preserve"> 35 </w:t>
      </w:r>
      <w:r w:rsidRPr="00F96C06">
        <w:rPr>
          <w:rFonts w:ascii="Times New Roman" w:eastAsia="Times New Roman" w:hAnsi="Times New Roman" w:cs="Times New Roman"/>
          <w:smallCaps/>
          <w:sz w:val="24"/>
          <w:szCs w:val="24"/>
          <w:shd w:val="clear" w:color="auto" w:fill="FFFFFF"/>
        </w:rPr>
        <w:t>Energy L. J.</w:t>
      </w:r>
      <w:r w:rsidRPr="00F96C06">
        <w:rPr>
          <w:rFonts w:ascii="Times New Roman" w:eastAsia="Times New Roman" w:hAnsi="Times New Roman" w:cs="Times New Roman"/>
          <w:sz w:val="24"/>
          <w:szCs w:val="24"/>
          <w:shd w:val="clear" w:color="auto" w:fill="FFFFFF"/>
        </w:rPr>
        <w:t xml:space="preserve"> 101, 111-13 (2014) (hereinafter Scherman).</w:t>
      </w:r>
      <w:r w:rsidR="009C6166" w:rsidRPr="00F96C06">
        <w:rPr>
          <w:rFonts w:ascii="Times New Roman" w:eastAsia="Times New Roman" w:hAnsi="Times New Roman" w:cs="Times New Roman"/>
          <w:sz w:val="24"/>
          <w:szCs w:val="24"/>
          <w:shd w:val="clear" w:color="auto" w:fill="FFFFFF"/>
        </w:rPr>
        <w:t xml:space="preserve"> </w:t>
      </w:r>
    </w:p>
  </w:footnote>
  <w:footnote w:id="58">
    <w:p w14:paraId="376FC186" w14:textId="42C85E5E"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eastAsia="Times New Roman" w:hAnsi="Times New Roman" w:cs="Times New Roman"/>
          <w:sz w:val="24"/>
          <w:szCs w:val="24"/>
          <w:shd w:val="clear" w:color="auto" w:fill="FFFFFF"/>
        </w:rPr>
        <w:t>Scherman</w:t>
      </w:r>
      <w:r w:rsidR="008021BA" w:rsidRPr="00F96C06">
        <w:rPr>
          <w:rFonts w:ascii="Times New Roman" w:eastAsia="Times New Roman" w:hAnsi="Times New Roman" w:cs="Times New Roman"/>
          <w:sz w:val="24"/>
          <w:szCs w:val="24"/>
          <w:shd w:val="clear" w:color="auto" w:fill="FFFFFF"/>
        </w:rPr>
        <w:t xml:space="preserve"> </w:t>
      </w:r>
      <w:r w:rsidRPr="00F96C06">
        <w:rPr>
          <w:rFonts w:ascii="Times New Roman" w:eastAsia="Times New Roman" w:hAnsi="Times New Roman" w:cs="Times New Roman"/>
          <w:sz w:val="24"/>
          <w:szCs w:val="24"/>
          <w:shd w:val="clear" w:color="auto" w:fill="FFFFFF"/>
        </w:rPr>
        <w:t>111-13</w:t>
      </w:r>
      <w:r w:rsidR="008021BA" w:rsidRPr="00F96C06">
        <w:rPr>
          <w:rFonts w:ascii="Times New Roman" w:eastAsia="Times New Roman" w:hAnsi="Times New Roman" w:cs="Times New Roman"/>
          <w:sz w:val="24"/>
          <w:szCs w:val="24"/>
          <w:shd w:val="clear" w:color="auto" w:fill="FFFFFF"/>
        </w:rPr>
        <w:t xml:space="preserve">. </w:t>
      </w:r>
    </w:p>
  </w:footnote>
  <w:footnote w:id="59">
    <w:p w14:paraId="0E0C1598" w14:textId="1BD901D6" w:rsidR="000B34DC" w:rsidRPr="00F96C06" w:rsidRDefault="000B34D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2. </w:t>
      </w:r>
    </w:p>
  </w:footnote>
  <w:footnote w:id="60">
    <w:p w14:paraId="5CD42DC9" w14:textId="46E74060" w:rsidR="00D858D9" w:rsidRPr="00F96C06" w:rsidRDefault="00D858D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3. </w:t>
      </w:r>
    </w:p>
  </w:footnote>
  <w:footnote w:id="61">
    <w:p w14:paraId="037D50AB" w14:textId="69CED6DD" w:rsidR="002103A0" w:rsidRPr="00F96C06" w:rsidRDefault="002103A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1</w:t>
      </w:r>
      <w:r w:rsidR="000B34DC" w:rsidRPr="00F96C06">
        <w:rPr>
          <w:rFonts w:ascii="Times New Roman" w:hAnsi="Times New Roman" w:cs="Times New Roman"/>
          <w:sz w:val="24"/>
          <w:szCs w:val="24"/>
        </w:rPr>
        <w:t>, 2</w:t>
      </w:r>
      <w:r w:rsidR="00CA2EA7" w:rsidRPr="00F96C06">
        <w:rPr>
          <w:rFonts w:ascii="Times New Roman" w:hAnsi="Times New Roman" w:cs="Times New Roman"/>
          <w:sz w:val="24"/>
          <w:szCs w:val="24"/>
        </w:rPr>
        <w:t>, 3</w:t>
      </w:r>
      <w:r w:rsidR="00370EA4" w:rsidRPr="00F96C06">
        <w:rPr>
          <w:rFonts w:ascii="Times New Roman" w:hAnsi="Times New Roman" w:cs="Times New Roman"/>
          <w:sz w:val="24"/>
          <w:szCs w:val="24"/>
        </w:rPr>
        <w:t xml:space="preserve">, </w:t>
      </w:r>
      <w:r w:rsidR="0094366A" w:rsidRPr="00F96C06">
        <w:rPr>
          <w:rFonts w:ascii="Times New Roman" w:hAnsi="Times New Roman" w:cs="Times New Roman"/>
          <w:sz w:val="24"/>
          <w:szCs w:val="24"/>
        </w:rPr>
        <w:t>6</w:t>
      </w:r>
      <w:r w:rsidR="00370EA4" w:rsidRPr="00F96C06">
        <w:rPr>
          <w:rFonts w:ascii="Times New Roman" w:hAnsi="Times New Roman" w:cs="Times New Roman"/>
          <w:sz w:val="24"/>
          <w:szCs w:val="24"/>
        </w:rPr>
        <w:t xml:space="preserve">.  </w:t>
      </w:r>
    </w:p>
  </w:footnote>
  <w:footnote w:id="62">
    <w:p w14:paraId="555FFE08" w14:textId="64B2608F"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eastAsia="Times New Roman" w:hAnsi="Times New Roman" w:cs="Times New Roman"/>
          <w:sz w:val="24"/>
          <w:szCs w:val="24"/>
          <w:shd w:val="clear" w:color="auto" w:fill="FFFFFF"/>
        </w:rPr>
        <w:t>See Murphy</w:t>
      </w:r>
      <w:r w:rsidR="00DA569D" w:rsidRPr="00F96C06">
        <w:rPr>
          <w:rFonts w:ascii="Times New Roman" w:eastAsia="Times New Roman" w:hAnsi="Times New Roman" w:cs="Times New Roman"/>
          <w:sz w:val="24"/>
          <w:szCs w:val="24"/>
          <w:shd w:val="clear" w:color="auto" w:fill="FFFFFF"/>
        </w:rPr>
        <w:t xml:space="preserve"> et al., </w:t>
      </w:r>
      <w:r w:rsidR="00D01CBE" w:rsidRPr="00F96C06">
        <w:rPr>
          <w:rFonts w:ascii="Times New Roman" w:eastAsia="Times New Roman" w:hAnsi="Times New Roman" w:cs="Times New Roman"/>
          <w:i/>
          <w:iCs/>
          <w:sz w:val="24"/>
          <w:szCs w:val="24"/>
          <w:shd w:val="clear" w:color="auto" w:fill="FFFFFF"/>
        </w:rPr>
        <w:t xml:space="preserve">supra </w:t>
      </w:r>
      <w:r w:rsidR="00DA569D" w:rsidRPr="00F96C06">
        <w:rPr>
          <w:rFonts w:ascii="Times New Roman" w:eastAsia="Times New Roman" w:hAnsi="Times New Roman" w:cs="Times New Roman"/>
          <w:sz w:val="24"/>
          <w:szCs w:val="24"/>
          <w:shd w:val="clear" w:color="auto" w:fill="FFFFFF"/>
        </w:rPr>
        <w:t>note 4</w:t>
      </w:r>
      <w:r w:rsidR="00D01CBE" w:rsidRPr="00F96C06">
        <w:rPr>
          <w:rFonts w:ascii="Times New Roman" w:eastAsia="Times New Roman" w:hAnsi="Times New Roman" w:cs="Times New Roman"/>
          <w:sz w:val="24"/>
          <w:szCs w:val="24"/>
          <w:shd w:val="clear" w:color="auto" w:fill="FFFFFF"/>
        </w:rPr>
        <w:t>4</w:t>
      </w:r>
      <w:r w:rsidR="00DA569D" w:rsidRPr="00F96C06">
        <w:rPr>
          <w:rFonts w:ascii="Times New Roman" w:eastAsia="Times New Roman" w:hAnsi="Times New Roman" w:cs="Times New Roman"/>
          <w:sz w:val="24"/>
          <w:szCs w:val="24"/>
          <w:shd w:val="clear" w:color="auto" w:fill="FFFFFF"/>
        </w:rPr>
        <w:t xml:space="preserve"> at</w:t>
      </w:r>
      <w:r w:rsidRPr="00F96C06">
        <w:rPr>
          <w:rFonts w:ascii="Times New Roman" w:eastAsia="Times New Roman" w:hAnsi="Times New Roman" w:cs="Times New Roman"/>
          <w:sz w:val="24"/>
          <w:szCs w:val="24"/>
          <w:shd w:val="clear" w:color="auto" w:fill="FFFFFF"/>
        </w:rPr>
        <w:t xml:space="preserve"> 296. Murphy describes the </w:t>
      </w:r>
      <w:r w:rsidRPr="00F96C06">
        <w:rPr>
          <w:rFonts w:ascii="Times New Roman" w:eastAsia="Times New Roman" w:hAnsi="Times New Roman" w:cs="Times New Roman"/>
          <w:i/>
          <w:iCs/>
          <w:sz w:val="24"/>
          <w:szCs w:val="24"/>
          <w:shd w:val="clear" w:color="auto" w:fill="FFFFFF"/>
        </w:rPr>
        <w:t>Barclay’s</w:t>
      </w:r>
      <w:r w:rsidRPr="00F96C06">
        <w:rPr>
          <w:rFonts w:ascii="Times New Roman" w:eastAsia="Times New Roman" w:hAnsi="Times New Roman" w:cs="Times New Roman"/>
          <w:sz w:val="24"/>
          <w:szCs w:val="24"/>
          <w:shd w:val="clear" w:color="auto" w:fill="FFFFFF"/>
        </w:rPr>
        <w:t xml:space="preserve"> case in which the target used all three opportunities </w:t>
      </w:r>
      <w:r w:rsidR="004133E5" w:rsidRPr="00F96C06">
        <w:rPr>
          <w:rFonts w:ascii="Times New Roman" w:eastAsia="Times New Roman" w:hAnsi="Times New Roman" w:cs="Times New Roman"/>
          <w:sz w:val="24"/>
          <w:szCs w:val="24"/>
          <w:shd w:val="clear" w:color="auto" w:fill="FFFFFF"/>
        </w:rPr>
        <w:t xml:space="preserve">to oppose the charging decision and </w:t>
      </w:r>
      <w:r w:rsidRPr="00F96C06">
        <w:rPr>
          <w:rFonts w:ascii="Times New Roman" w:eastAsia="Times New Roman" w:hAnsi="Times New Roman" w:cs="Times New Roman"/>
          <w:sz w:val="24"/>
          <w:szCs w:val="24"/>
          <w:shd w:val="clear" w:color="auto" w:fill="FFFFFF"/>
        </w:rPr>
        <w:t xml:space="preserve"> submitted </w:t>
      </w:r>
      <w:r w:rsidR="004133E5" w:rsidRPr="00F96C06">
        <w:rPr>
          <w:rFonts w:ascii="Times New Roman" w:eastAsia="Times New Roman" w:hAnsi="Times New Roman" w:cs="Times New Roman"/>
          <w:sz w:val="24"/>
          <w:szCs w:val="24"/>
          <w:shd w:val="clear" w:color="auto" w:fill="FFFFFF"/>
        </w:rPr>
        <w:t xml:space="preserve">a total of </w:t>
      </w:r>
      <w:r w:rsidRPr="00F96C06">
        <w:rPr>
          <w:rFonts w:ascii="Times New Roman" w:eastAsia="Times New Roman" w:hAnsi="Times New Roman" w:cs="Times New Roman"/>
          <w:sz w:val="24"/>
          <w:szCs w:val="24"/>
          <w:shd w:val="clear" w:color="auto" w:fill="FFFFFF"/>
        </w:rPr>
        <w:t>850 p</w:t>
      </w:r>
      <w:r w:rsidR="00CA2EA7" w:rsidRPr="00F96C06">
        <w:rPr>
          <w:rFonts w:ascii="Times New Roman" w:eastAsia="Times New Roman" w:hAnsi="Times New Roman" w:cs="Times New Roman"/>
          <w:sz w:val="24"/>
          <w:szCs w:val="24"/>
          <w:shd w:val="clear" w:color="auto" w:fill="FFFFFF"/>
        </w:rPr>
        <w:t>ages</w:t>
      </w:r>
      <w:r w:rsidRPr="00F96C06">
        <w:rPr>
          <w:rFonts w:ascii="Times New Roman" w:eastAsia="Times New Roman" w:hAnsi="Times New Roman" w:cs="Times New Roman"/>
          <w:sz w:val="24"/>
          <w:szCs w:val="24"/>
          <w:shd w:val="clear" w:color="auto" w:fill="FFFFFF"/>
        </w:rPr>
        <w:t xml:space="preserve"> of argument &amp; factual representations</w:t>
      </w:r>
      <w:r w:rsidR="004133E5" w:rsidRPr="00F96C06">
        <w:rPr>
          <w:rFonts w:ascii="Times New Roman" w:eastAsia="Times New Roman" w:hAnsi="Times New Roman" w:cs="Times New Roman"/>
          <w:sz w:val="24"/>
          <w:szCs w:val="24"/>
          <w:shd w:val="clear" w:color="auto" w:fill="FFFFFF"/>
        </w:rPr>
        <w:t>.</w:t>
      </w:r>
      <w:r w:rsidRPr="00F96C06">
        <w:rPr>
          <w:rFonts w:ascii="Times New Roman" w:eastAsia="Times New Roman" w:hAnsi="Times New Roman" w:cs="Times New Roman"/>
          <w:sz w:val="24"/>
          <w:szCs w:val="24"/>
          <w:shd w:val="clear" w:color="auto" w:fill="FFFFFF"/>
        </w:rPr>
        <w:t xml:space="preserve"> </w:t>
      </w:r>
    </w:p>
  </w:footnote>
  <w:footnote w:id="63">
    <w:p w14:paraId="5EA15644" w14:textId="79169566" w:rsidR="003121EB" w:rsidRPr="00F96C06" w:rsidRDefault="003121EB" w:rsidP="003121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Policy Statement</w:t>
      </w:r>
      <w:r w:rsidRPr="00F96C06">
        <w:rPr>
          <w:rFonts w:ascii="Times New Roman" w:hAnsi="Times New Roman" w:cs="Times New Roman"/>
          <w:sz w:val="24"/>
          <w:szCs w:val="24"/>
        </w:rPr>
        <w:t xml:space="preserve"> 36</w:t>
      </w:r>
      <w:r w:rsidR="00281D09" w:rsidRPr="00F96C06">
        <w:rPr>
          <w:rFonts w:ascii="Times New Roman" w:hAnsi="Times New Roman" w:cs="Times New Roman"/>
          <w:sz w:val="24"/>
          <w:szCs w:val="24"/>
        </w:rPr>
        <w:t xml:space="preserve">.  For further discussion of separation of functions and ex parte communications, see Part V. C. </w:t>
      </w:r>
    </w:p>
  </w:footnote>
  <w:footnote w:id="64">
    <w:p w14:paraId="6074E97B" w14:textId="5A5283E8" w:rsidR="00F65CCB" w:rsidRPr="00F96C06" w:rsidRDefault="00F65CC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246080" w:rsidRPr="00F96C06">
        <w:rPr>
          <w:rFonts w:ascii="Times New Roman" w:hAnsi="Times New Roman" w:cs="Times New Roman"/>
          <w:sz w:val="24"/>
          <w:szCs w:val="24"/>
        </w:rPr>
        <w:t xml:space="preserve">Mullins &amp; McEachran, </w:t>
      </w:r>
      <w:r w:rsidR="00246080" w:rsidRPr="00F96C06">
        <w:rPr>
          <w:rFonts w:ascii="Times New Roman" w:hAnsi="Times New Roman" w:cs="Times New Roman"/>
          <w:i/>
          <w:iCs/>
          <w:sz w:val="24"/>
          <w:szCs w:val="24"/>
        </w:rPr>
        <w:t>supra</w:t>
      </w:r>
      <w:r w:rsidR="00246080" w:rsidRPr="00F96C06">
        <w:rPr>
          <w:rFonts w:ascii="Times New Roman" w:hAnsi="Times New Roman" w:cs="Times New Roman"/>
          <w:sz w:val="24"/>
          <w:szCs w:val="24"/>
        </w:rPr>
        <w:t xml:space="preserve"> note </w:t>
      </w:r>
      <w:r w:rsidR="00DA569D" w:rsidRPr="00F96C06">
        <w:rPr>
          <w:rFonts w:ascii="Times New Roman" w:hAnsi="Times New Roman" w:cs="Times New Roman"/>
          <w:sz w:val="24"/>
          <w:szCs w:val="24"/>
        </w:rPr>
        <w:t>4</w:t>
      </w:r>
      <w:r w:rsidR="00D01CBE" w:rsidRPr="00F96C06">
        <w:rPr>
          <w:rFonts w:ascii="Times New Roman" w:hAnsi="Times New Roman" w:cs="Times New Roman"/>
          <w:sz w:val="24"/>
          <w:szCs w:val="24"/>
        </w:rPr>
        <w:t>4</w:t>
      </w:r>
      <w:r w:rsidR="00246080" w:rsidRPr="00F96C06">
        <w:rPr>
          <w:rFonts w:ascii="Times New Roman" w:hAnsi="Times New Roman" w:cs="Times New Roman"/>
          <w:sz w:val="24"/>
          <w:szCs w:val="24"/>
        </w:rPr>
        <w:t xml:space="preserve">. </w:t>
      </w:r>
      <w:r w:rsidR="004877A3" w:rsidRPr="00F96C06">
        <w:rPr>
          <w:rFonts w:ascii="Times New Roman" w:hAnsi="Times New Roman" w:cs="Times New Roman"/>
          <w:sz w:val="24"/>
          <w:szCs w:val="24"/>
        </w:rPr>
        <w:t xml:space="preserve"> See also </w:t>
      </w:r>
      <w:r w:rsidR="004877A3" w:rsidRPr="00F96C06">
        <w:rPr>
          <w:rFonts w:ascii="Times New Roman" w:hAnsi="Times New Roman" w:cs="Times New Roman"/>
          <w:i/>
          <w:iCs/>
          <w:sz w:val="24"/>
          <w:szCs w:val="24"/>
        </w:rPr>
        <w:t>Total Gas &amp; Power</w:t>
      </w:r>
      <w:r w:rsidR="00E2270E" w:rsidRPr="00F96C06">
        <w:rPr>
          <w:rFonts w:ascii="Times New Roman" w:hAnsi="Times New Roman" w:cs="Times New Roman"/>
          <w:i/>
          <w:iCs/>
          <w:sz w:val="24"/>
          <w:szCs w:val="24"/>
        </w:rPr>
        <w:t>,</w:t>
      </w:r>
      <w:r w:rsidR="00E2270E" w:rsidRPr="00F96C06">
        <w:rPr>
          <w:rFonts w:ascii="Times New Roman" w:hAnsi="Times New Roman" w:cs="Times New Roman"/>
          <w:sz w:val="24"/>
          <w:szCs w:val="24"/>
        </w:rPr>
        <w:t xml:space="preserve"> </w:t>
      </w:r>
      <w:r w:rsidR="00D01CBE" w:rsidRPr="00F96C06">
        <w:rPr>
          <w:rFonts w:ascii="Times New Roman" w:hAnsi="Times New Roman" w:cs="Times New Roman"/>
          <w:i/>
          <w:iCs/>
          <w:sz w:val="24"/>
          <w:szCs w:val="24"/>
        </w:rPr>
        <w:t xml:space="preserve">supra </w:t>
      </w:r>
      <w:r w:rsidR="00E2270E" w:rsidRPr="00F96C06">
        <w:rPr>
          <w:rFonts w:ascii="Times New Roman" w:hAnsi="Times New Roman" w:cs="Times New Roman"/>
          <w:sz w:val="24"/>
          <w:szCs w:val="24"/>
        </w:rPr>
        <w:t xml:space="preserve">note </w:t>
      </w:r>
      <w:r w:rsidR="00DA569D" w:rsidRPr="00F96C06">
        <w:rPr>
          <w:rFonts w:ascii="Times New Roman" w:hAnsi="Times New Roman" w:cs="Times New Roman"/>
          <w:sz w:val="24"/>
          <w:szCs w:val="24"/>
        </w:rPr>
        <w:t>4</w:t>
      </w:r>
      <w:r w:rsidR="00D01CBE" w:rsidRPr="00F96C06">
        <w:rPr>
          <w:rFonts w:ascii="Times New Roman" w:hAnsi="Times New Roman" w:cs="Times New Roman"/>
          <w:sz w:val="24"/>
          <w:szCs w:val="24"/>
        </w:rPr>
        <w:t>4</w:t>
      </w:r>
      <w:r w:rsidR="00DA569D" w:rsidRPr="00F96C06">
        <w:rPr>
          <w:rFonts w:ascii="Times New Roman" w:hAnsi="Times New Roman" w:cs="Times New Roman"/>
          <w:sz w:val="24"/>
          <w:szCs w:val="24"/>
        </w:rPr>
        <w:t xml:space="preserve">. </w:t>
      </w:r>
    </w:p>
  </w:footnote>
  <w:footnote w:id="65">
    <w:p w14:paraId="1C66AF80" w14:textId="08AA153A" w:rsidR="000B34DC" w:rsidRPr="00F96C06" w:rsidRDefault="000B34D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2</w:t>
      </w:r>
      <w:r w:rsidR="00370EA4" w:rsidRPr="00F96C06">
        <w:rPr>
          <w:rFonts w:ascii="Times New Roman" w:hAnsi="Times New Roman" w:cs="Times New Roman"/>
          <w:sz w:val="24"/>
          <w:szCs w:val="24"/>
        </w:rPr>
        <w:t>, 4, 5</w:t>
      </w:r>
      <w:r w:rsidRPr="00F96C06">
        <w:rPr>
          <w:rFonts w:ascii="Times New Roman" w:hAnsi="Times New Roman" w:cs="Times New Roman"/>
          <w:sz w:val="24"/>
          <w:szCs w:val="24"/>
        </w:rPr>
        <w:t xml:space="preserve">. </w:t>
      </w:r>
    </w:p>
  </w:footnote>
  <w:footnote w:id="66">
    <w:p w14:paraId="49B7DD8C" w14:textId="63B415A9" w:rsidR="003C2EF1" w:rsidRPr="00F96C06" w:rsidRDefault="003C2EF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4.</w:t>
      </w:r>
    </w:p>
  </w:footnote>
  <w:footnote w:id="67">
    <w:p w14:paraId="0089F9CD" w14:textId="3C3E792D" w:rsidR="007F4FE6" w:rsidRPr="00F96C06" w:rsidRDefault="007F4FE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Taft Hartley Act of 1947, §3(d), 29 U.S.C. §15</w:t>
      </w:r>
      <w:r w:rsidR="00C838B5" w:rsidRPr="00F96C06">
        <w:rPr>
          <w:rFonts w:ascii="Times New Roman" w:hAnsi="Times New Roman" w:cs="Times New Roman"/>
          <w:sz w:val="24"/>
          <w:szCs w:val="24"/>
        </w:rPr>
        <w:t xml:space="preserve">3(d). </w:t>
      </w:r>
      <w:r w:rsidR="006F0132" w:rsidRPr="00F96C06">
        <w:rPr>
          <w:rFonts w:ascii="Times New Roman" w:hAnsi="Times New Roman" w:cs="Times New Roman"/>
          <w:sz w:val="24"/>
          <w:szCs w:val="24"/>
        </w:rPr>
        <w:t xml:space="preserve">Whether the NLRB model should be carried to other agencies is discussed in part V. F. </w:t>
      </w:r>
    </w:p>
  </w:footnote>
  <w:footnote w:id="68">
    <w:p w14:paraId="05EB88F4" w14:textId="482E54F5" w:rsidR="00001A30" w:rsidRPr="00F96C06" w:rsidRDefault="00001A3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President Biden fired General Counsel Peter Robb who had refused to resign. </w:t>
      </w:r>
      <w:r w:rsidR="00445F46" w:rsidRPr="00F96C06">
        <w:rPr>
          <w:rFonts w:ascii="Times New Roman" w:hAnsi="Times New Roman" w:cs="Times New Roman"/>
          <w:sz w:val="24"/>
          <w:szCs w:val="24"/>
        </w:rPr>
        <w:t>V</w:t>
      </w:r>
      <w:r w:rsidRPr="00F96C06">
        <w:rPr>
          <w:rFonts w:ascii="Times New Roman" w:hAnsi="Times New Roman" w:cs="Times New Roman"/>
          <w:sz w:val="24"/>
          <w:szCs w:val="24"/>
        </w:rPr>
        <w:t xml:space="preserve">arious parties before the Board </w:t>
      </w:r>
      <w:r w:rsidR="00445F46" w:rsidRPr="00F96C06">
        <w:rPr>
          <w:rFonts w:ascii="Times New Roman" w:hAnsi="Times New Roman" w:cs="Times New Roman"/>
          <w:sz w:val="24"/>
          <w:szCs w:val="24"/>
        </w:rPr>
        <w:t xml:space="preserve">have </w:t>
      </w:r>
      <w:r w:rsidRPr="00F96C06">
        <w:rPr>
          <w:rFonts w:ascii="Times New Roman" w:hAnsi="Times New Roman" w:cs="Times New Roman"/>
          <w:sz w:val="24"/>
          <w:szCs w:val="24"/>
        </w:rPr>
        <w:t>challeng</w:t>
      </w:r>
      <w:r w:rsidR="00445F46" w:rsidRPr="00F96C06">
        <w:rPr>
          <w:rFonts w:ascii="Times New Roman" w:hAnsi="Times New Roman" w:cs="Times New Roman"/>
          <w:sz w:val="24"/>
          <w:szCs w:val="24"/>
        </w:rPr>
        <w:t xml:space="preserve">ed </w:t>
      </w:r>
      <w:r w:rsidRPr="00F96C06">
        <w:rPr>
          <w:rFonts w:ascii="Times New Roman" w:hAnsi="Times New Roman" w:cs="Times New Roman"/>
          <w:sz w:val="24"/>
          <w:szCs w:val="24"/>
        </w:rPr>
        <w:t xml:space="preserve">the legality of cases brought </w:t>
      </w:r>
      <w:r w:rsidR="006C7E0F" w:rsidRPr="00F96C06">
        <w:rPr>
          <w:rFonts w:ascii="Times New Roman" w:hAnsi="Times New Roman" w:cs="Times New Roman"/>
          <w:sz w:val="24"/>
          <w:szCs w:val="24"/>
        </w:rPr>
        <w:t>by</w:t>
      </w:r>
      <w:r w:rsidRPr="00F96C06">
        <w:rPr>
          <w:rFonts w:ascii="Times New Roman" w:hAnsi="Times New Roman" w:cs="Times New Roman"/>
          <w:sz w:val="24"/>
          <w:szCs w:val="24"/>
        </w:rPr>
        <w:t xml:space="preserve"> the Acting General Counsel. </w:t>
      </w:r>
      <w:r w:rsidR="000D671B" w:rsidRPr="00F96C06">
        <w:rPr>
          <w:rFonts w:ascii="Times New Roman" w:hAnsi="Times New Roman" w:cs="Times New Roman"/>
          <w:sz w:val="24"/>
          <w:szCs w:val="24"/>
        </w:rPr>
        <w:t>So far</w:t>
      </w:r>
      <w:r w:rsidR="00835E4E" w:rsidRPr="00F96C06">
        <w:rPr>
          <w:rFonts w:ascii="Times New Roman" w:hAnsi="Times New Roman" w:cs="Times New Roman"/>
          <w:sz w:val="24"/>
          <w:szCs w:val="24"/>
        </w:rPr>
        <w:t>,</w:t>
      </w:r>
      <w:r w:rsidR="000D671B" w:rsidRPr="00F96C06">
        <w:rPr>
          <w:rFonts w:ascii="Times New Roman" w:hAnsi="Times New Roman" w:cs="Times New Roman"/>
          <w:sz w:val="24"/>
          <w:szCs w:val="24"/>
        </w:rPr>
        <w:t xml:space="preserve"> these challenges have failed.  See Exela Enterprise Solutions v. NLRB, 32 F.</w:t>
      </w:r>
      <w:r w:rsidR="00835E4E" w:rsidRPr="00F96C06">
        <w:rPr>
          <w:rFonts w:ascii="Times New Roman" w:hAnsi="Times New Roman" w:cs="Times New Roman"/>
          <w:sz w:val="24"/>
          <w:szCs w:val="24"/>
        </w:rPr>
        <w:t xml:space="preserve">4th 436 (5th Cir. 2022).  </w:t>
      </w:r>
      <w:r w:rsidRPr="00F96C06">
        <w:rPr>
          <w:rFonts w:ascii="Times New Roman" w:hAnsi="Times New Roman" w:cs="Times New Roman"/>
          <w:sz w:val="24"/>
          <w:szCs w:val="24"/>
        </w:rPr>
        <w:t xml:space="preserve">The Board </w:t>
      </w:r>
      <w:r w:rsidR="00835E4E" w:rsidRPr="00F96C06">
        <w:rPr>
          <w:rFonts w:ascii="Times New Roman" w:hAnsi="Times New Roman" w:cs="Times New Roman"/>
          <w:sz w:val="24"/>
          <w:szCs w:val="24"/>
        </w:rPr>
        <w:t xml:space="preserve">has also rejected challenges to Robb’s dismissal.  Aakosh, Inc. 371 NLRB No. 46 (2021). </w:t>
      </w:r>
    </w:p>
  </w:footnote>
  <w:footnote w:id="69">
    <w:p w14:paraId="1E1AD3EB" w14:textId="6A63C9EE" w:rsidR="00C838B5" w:rsidRPr="00F96C06" w:rsidRDefault="00C838B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090635" w:rsidRPr="00F96C06">
        <w:rPr>
          <w:rFonts w:ascii="Times New Roman" w:hAnsi="Times New Roman" w:cs="Times New Roman"/>
          <w:sz w:val="24"/>
          <w:szCs w:val="24"/>
        </w:rPr>
        <w:t xml:space="preserve">29 U.S.C. §160(j). </w:t>
      </w:r>
    </w:p>
  </w:footnote>
  <w:footnote w:id="70">
    <w:p w14:paraId="7E97E9D1" w14:textId="76E0838E" w:rsidR="000F06B0" w:rsidRPr="00F96C06" w:rsidRDefault="000F06B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3.</w:t>
      </w:r>
      <w:r w:rsidR="007442B1" w:rsidRPr="00F96C06">
        <w:rPr>
          <w:rFonts w:ascii="Times New Roman" w:hAnsi="Times New Roman" w:cs="Times New Roman"/>
          <w:sz w:val="24"/>
          <w:szCs w:val="24"/>
        </w:rPr>
        <w:t xml:space="preserve"> </w:t>
      </w:r>
    </w:p>
  </w:footnote>
  <w:footnote w:id="71">
    <w:p w14:paraId="7C382DEB" w14:textId="271A7432" w:rsidR="003739B7" w:rsidRPr="00F96C06" w:rsidRDefault="003739B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3. </w:t>
      </w:r>
    </w:p>
  </w:footnote>
  <w:footnote w:id="72">
    <w:p w14:paraId="3375615A" w14:textId="1862B015" w:rsidR="00E71B56" w:rsidRPr="00F96C06" w:rsidRDefault="00E71B5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3. </w:t>
      </w:r>
    </w:p>
  </w:footnote>
  <w:footnote w:id="73">
    <w:p w14:paraId="04868DF6" w14:textId="660B14E3" w:rsidR="00F60444" w:rsidRPr="00F96C06" w:rsidRDefault="00F60444" w:rsidP="00F6044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1, 2, 3.</w:t>
      </w:r>
    </w:p>
  </w:footnote>
  <w:footnote w:id="74">
    <w:p w14:paraId="50BC5D7F" w14:textId="2A06B466" w:rsidR="00763D79" w:rsidRPr="00F96C06" w:rsidRDefault="00763D79" w:rsidP="00763D7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C16B75" w:rsidRPr="00F96C06">
        <w:rPr>
          <w:rFonts w:ascii="Times New Roman" w:hAnsi="Times New Roman" w:cs="Times New Roman"/>
          <w:sz w:val="24"/>
          <w:szCs w:val="24"/>
        </w:rPr>
        <w:t xml:space="preserve">NLRB 3. </w:t>
      </w:r>
      <w:r w:rsidR="00731E8D" w:rsidRPr="00F96C06">
        <w:rPr>
          <w:rFonts w:ascii="Times New Roman" w:hAnsi="Times New Roman" w:cs="Times New Roman"/>
          <w:sz w:val="24"/>
          <w:szCs w:val="24"/>
        </w:rPr>
        <w:t xml:space="preserve">The statistics in this paragraph are derived from </w:t>
      </w:r>
      <w:r w:rsidR="00F60444" w:rsidRPr="00F96C06">
        <w:rPr>
          <w:rFonts w:ascii="Times New Roman" w:hAnsi="Times New Roman" w:cs="Times New Roman"/>
          <w:sz w:val="24"/>
          <w:szCs w:val="24"/>
        </w:rPr>
        <w:t xml:space="preserve">the NLRB’s 2021 Performance and Accountability Review and its Case Activity reports. All are located on the NLRB’s website, NLRB.gov. </w:t>
      </w:r>
    </w:p>
  </w:footnote>
  <w:footnote w:id="75">
    <w:p w14:paraId="5104FA55" w14:textId="74ECD932" w:rsidR="006417E5" w:rsidRPr="00F96C06" w:rsidRDefault="006417E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In FY 2016,</w:t>
      </w:r>
      <w:r w:rsidR="00C16B75" w:rsidRPr="00F96C06">
        <w:rPr>
          <w:rFonts w:ascii="Times New Roman" w:hAnsi="Times New Roman" w:cs="Times New Roman"/>
          <w:sz w:val="24"/>
          <w:szCs w:val="24"/>
        </w:rPr>
        <w:t xml:space="preserve"> for example, </w:t>
      </w:r>
      <w:r w:rsidRPr="00F96C06">
        <w:rPr>
          <w:rFonts w:ascii="Times New Roman" w:hAnsi="Times New Roman" w:cs="Times New Roman"/>
          <w:sz w:val="24"/>
          <w:szCs w:val="24"/>
        </w:rPr>
        <w:t>the</w:t>
      </w:r>
      <w:r w:rsidR="00600BCC" w:rsidRPr="00F96C06">
        <w:rPr>
          <w:rFonts w:ascii="Times New Roman" w:hAnsi="Times New Roman" w:cs="Times New Roman"/>
          <w:sz w:val="24"/>
          <w:szCs w:val="24"/>
        </w:rPr>
        <w:t xml:space="preserve"> NLRB received </w:t>
      </w:r>
      <w:r w:rsidRPr="00F96C06">
        <w:rPr>
          <w:rFonts w:ascii="Times New Roman" w:hAnsi="Times New Roman" w:cs="Times New Roman"/>
          <w:sz w:val="24"/>
          <w:szCs w:val="24"/>
        </w:rPr>
        <w:t>21,326 charges</w:t>
      </w:r>
      <w:r w:rsidR="00600BCC" w:rsidRPr="00F96C06">
        <w:rPr>
          <w:rFonts w:ascii="Times New Roman" w:hAnsi="Times New Roman" w:cs="Times New Roman"/>
          <w:sz w:val="24"/>
          <w:szCs w:val="24"/>
        </w:rPr>
        <w:t xml:space="preserve">. Regional Offices issued </w:t>
      </w:r>
      <w:r w:rsidRPr="00F96C06">
        <w:rPr>
          <w:rFonts w:ascii="Times New Roman" w:hAnsi="Times New Roman" w:cs="Times New Roman"/>
          <w:sz w:val="24"/>
          <w:szCs w:val="24"/>
        </w:rPr>
        <w:t>1272 comp</w:t>
      </w:r>
      <w:r w:rsidR="00600BCC" w:rsidRPr="00F96C06">
        <w:rPr>
          <w:rFonts w:ascii="Times New Roman" w:hAnsi="Times New Roman" w:cs="Times New Roman"/>
          <w:sz w:val="24"/>
          <w:szCs w:val="24"/>
        </w:rPr>
        <w:t xml:space="preserve">laints.  The </w:t>
      </w:r>
      <w:r w:rsidR="000D4DA6" w:rsidRPr="00F96C06">
        <w:rPr>
          <w:rFonts w:ascii="Times New Roman" w:hAnsi="Times New Roman" w:cs="Times New Roman"/>
          <w:sz w:val="24"/>
          <w:szCs w:val="24"/>
        </w:rPr>
        <w:t>B</w:t>
      </w:r>
      <w:r w:rsidR="00600BCC" w:rsidRPr="00F96C06">
        <w:rPr>
          <w:rFonts w:ascii="Times New Roman" w:hAnsi="Times New Roman" w:cs="Times New Roman"/>
          <w:sz w:val="24"/>
          <w:szCs w:val="24"/>
        </w:rPr>
        <w:t>oard decided 29</w:t>
      </w:r>
      <w:r w:rsidR="000D4DA6" w:rsidRPr="00F96C06">
        <w:rPr>
          <w:rFonts w:ascii="Times New Roman" w:hAnsi="Times New Roman" w:cs="Times New Roman"/>
          <w:sz w:val="24"/>
          <w:szCs w:val="24"/>
        </w:rPr>
        <w:t>6</w:t>
      </w:r>
      <w:r w:rsidR="00600BCC" w:rsidRPr="00F96C06">
        <w:rPr>
          <w:rFonts w:ascii="Times New Roman" w:hAnsi="Times New Roman" w:cs="Times New Roman"/>
          <w:sz w:val="24"/>
          <w:szCs w:val="24"/>
        </w:rPr>
        <w:t xml:space="preserve"> </w:t>
      </w:r>
      <w:r w:rsidR="000D4DA6" w:rsidRPr="00F96C06">
        <w:rPr>
          <w:rFonts w:ascii="Times New Roman" w:hAnsi="Times New Roman" w:cs="Times New Roman"/>
          <w:sz w:val="24"/>
          <w:szCs w:val="24"/>
        </w:rPr>
        <w:t xml:space="preserve">contested </w:t>
      </w:r>
      <w:r w:rsidR="00600BCC" w:rsidRPr="00F96C06">
        <w:rPr>
          <w:rFonts w:ascii="Times New Roman" w:hAnsi="Times New Roman" w:cs="Times New Roman"/>
          <w:sz w:val="24"/>
          <w:szCs w:val="24"/>
        </w:rPr>
        <w:t xml:space="preserve">ULP cases. </w:t>
      </w:r>
      <w:r w:rsidRPr="00F96C06">
        <w:rPr>
          <w:rFonts w:ascii="Times New Roman" w:hAnsi="Times New Roman" w:cs="Times New Roman"/>
          <w:sz w:val="24"/>
          <w:szCs w:val="24"/>
        </w:rPr>
        <w:t>The Board approved 29 reques</w:t>
      </w:r>
      <w:r w:rsidR="00600BCC" w:rsidRPr="00F96C06">
        <w:rPr>
          <w:rFonts w:ascii="Times New Roman" w:hAnsi="Times New Roman" w:cs="Times New Roman"/>
          <w:sz w:val="24"/>
          <w:szCs w:val="24"/>
        </w:rPr>
        <w:t>t</w:t>
      </w:r>
      <w:r w:rsidRPr="00F96C06">
        <w:rPr>
          <w:rFonts w:ascii="Times New Roman" w:hAnsi="Times New Roman" w:cs="Times New Roman"/>
          <w:sz w:val="24"/>
          <w:szCs w:val="24"/>
        </w:rPr>
        <w:t xml:space="preserve">s to seek 10(j) </w:t>
      </w:r>
      <w:r w:rsidR="00600BCC" w:rsidRPr="00F96C06">
        <w:rPr>
          <w:rFonts w:ascii="Times New Roman" w:hAnsi="Times New Roman" w:cs="Times New Roman"/>
          <w:sz w:val="24"/>
          <w:szCs w:val="24"/>
        </w:rPr>
        <w:t xml:space="preserve">temporary injunctions. </w:t>
      </w:r>
      <w:r w:rsidRPr="00F96C06">
        <w:rPr>
          <w:rFonts w:ascii="Times New Roman" w:hAnsi="Times New Roman" w:cs="Times New Roman"/>
          <w:sz w:val="24"/>
          <w:szCs w:val="24"/>
        </w:rPr>
        <w:t>The much lower number of 10</w:t>
      </w:r>
      <w:r w:rsidR="00600BCC" w:rsidRPr="00F96C06">
        <w:rPr>
          <w:rFonts w:ascii="Times New Roman" w:hAnsi="Times New Roman" w:cs="Times New Roman"/>
          <w:sz w:val="24"/>
          <w:szCs w:val="24"/>
        </w:rPr>
        <w:t xml:space="preserve">(j) </w:t>
      </w:r>
      <w:r w:rsidRPr="00F96C06">
        <w:rPr>
          <w:rFonts w:ascii="Times New Roman" w:hAnsi="Times New Roman" w:cs="Times New Roman"/>
          <w:sz w:val="24"/>
          <w:szCs w:val="24"/>
        </w:rPr>
        <w:t>re</w:t>
      </w:r>
      <w:r w:rsidR="00600BCC" w:rsidRPr="00F96C06">
        <w:rPr>
          <w:rFonts w:ascii="Times New Roman" w:hAnsi="Times New Roman" w:cs="Times New Roman"/>
          <w:sz w:val="24"/>
          <w:szCs w:val="24"/>
        </w:rPr>
        <w:t>q</w:t>
      </w:r>
      <w:r w:rsidRPr="00F96C06">
        <w:rPr>
          <w:rFonts w:ascii="Times New Roman" w:hAnsi="Times New Roman" w:cs="Times New Roman"/>
          <w:sz w:val="24"/>
          <w:szCs w:val="24"/>
        </w:rPr>
        <w:t>uests</w:t>
      </w:r>
      <w:r w:rsidR="00600BCC" w:rsidRPr="00F96C06">
        <w:rPr>
          <w:rFonts w:ascii="Times New Roman" w:hAnsi="Times New Roman" w:cs="Times New Roman"/>
          <w:sz w:val="24"/>
          <w:szCs w:val="24"/>
        </w:rPr>
        <w:t xml:space="preserve"> in</w:t>
      </w:r>
      <w:r w:rsidR="0043743E" w:rsidRPr="00F96C06">
        <w:rPr>
          <w:rFonts w:ascii="Times New Roman" w:hAnsi="Times New Roman" w:cs="Times New Roman"/>
          <w:sz w:val="24"/>
          <w:szCs w:val="24"/>
        </w:rPr>
        <w:t xml:space="preserve"> </w:t>
      </w:r>
      <w:r w:rsidR="00600BCC" w:rsidRPr="00F96C06">
        <w:rPr>
          <w:rFonts w:ascii="Times New Roman" w:hAnsi="Times New Roman" w:cs="Times New Roman"/>
          <w:sz w:val="24"/>
          <w:szCs w:val="24"/>
        </w:rPr>
        <w:t>202</w:t>
      </w:r>
      <w:r w:rsidR="000D4DA6" w:rsidRPr="00F96C06">
        <w:rPr>
          <w:rFonts w:ascii="Times New Roman" w:hAnsi="Times New Roman" w:cs="Times New Roman"/>
          <w:sz w:val="24"/>
          <w:szCs w:val="24"/>
        </w:rPr>
        <w:t>1</w:t>
      </w:r>
      <w:r w:rsidRPr="00F96C06">
        <w:rPr>
          <w:rFonts w:ascii="Times New Roman" w:hAnsi="Times New Roman" w:cs="Times New Roman"/>
          <w:sz w:val="24"/>
          <w:szCs w:val="24"/>
        </w:rPr>
        <w:t xml:space="preserve"> reflected the policy prefer</w:t>
      </w:r>
      <w:r w:rsidR="00600BCC" w:rsidRPr="00F96C06">
        <w:rPr>
          <w:rFonts w:ascii="Times New Roman" w:hAnsi="Times New Roman" w:cs="Times New Roman"/>
          <w:sz w:val="24"/>
          <w:szCs w:val="24"/>
        </w:rPr>
        <w:t>e</w:t>
      </w:r>
      <w:r w:rsidRPr="00F96C06">
        <w:rPr>
          <w:rFonts w:ascii="Times New Roman" w:hAnsi="Times New Roman" w:cs="Times New Roman"/>
          <w:sz w:val="24"/>
          <w:szCs w:val="24"/>
        </w:rPr>
        <w:t>nces of the General Counsel.  N</w:t>
      </w:r>
      <w:r w:rsidR="00600BCC" w:rsidRPr="00F96C06">
        <w:rPr>
          <w:rFonts w:ascii="Times New Roman" w:hAnsi="Times New Roman" w:cs="Times New Roman"/>
          <w:sz w:val="24"/>
          <w:szCs w:val="24"/>
        </w:rPr>
        <w:t>L</w:t>
      </w:r>
      <w:r w:rsidRPr="00F96C06">
        <w:rPr>
          <w:rFonts w:ascii="Times New Roman" w:hAnsi="Times New Roman" w:cs="Times New Roman"/>
          <w:sz w:val="24"/>
          <w:szCs w:val="24"/>
        </w:rPr>
        <w:t>RB</w:t>
      </w:r>
      <w:r w:rsidR="007B4AF0"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3. </w:t>
      </w:r>
    </w:p>
  </w:footnote>
  <w:footnote w:id="76">
    <w:p w14:paraId="03AC1A23" w14:textId="57B44924" w:rsidR="007B4AF0" w:rsidRPr="00F96C06" w:rsidRDefault="007B4AF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1, 2</w:t>
      </w:r>
      <w:r w:rsidR="006473C7" w:rsidRPr="00F96C06">
        <w:rPr>
          <w:rFonts w:ascii="Times New Roman" w:hAnsi="Times New Roman" w:cs="Times New Roman"/>
          <w:sz w:val="24"/>
          <w:szCs w:val="24"/>
        </w:rPr>
        <w:t>, 3</w:t>
      </w:r>
      <w:r w:rsidRPr="00F96C06">
        <w:rPr>
          <w:rFonts w:ascii="Times New Roman" w:hAnsi="Times New Roman" w:cs="Times New Roman"/>
          <w:sz w:val="24"/>
          <w:szCs w:val="24"/>
        </w:rPr>
        <w:t xml:space="preserve">. </w:t>
      </w:r>
      <w:r w:rsidR="006473C7" w:rsidRPr="00F96C06">
        <w:rPr>
          <w:rFonts w:ascii="Times New Roman" w:hAnsi="Times New Roman" w:cs="Times New Roman"/>
          <w:sz w:val="24"/>
          <w:szCs w:val="24"/>
        </w:rPr>
        <w:t xml:space="preserve">Most settlements are informal; the charging party withdraws the charge after the charged party offers acceptable resolution.   </w:t>
      </w:r>
    </w:p>
  </w:footnote>
  <w:footnote w:id="77">
    <w:p w14:paraId="25435CE1" w14:textId="753E30BD" w:rsidR="00A867A6" w:rsidRPr="00F96C06" w:rsidRDefault="00A867A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w:t>
      </w:r>
      <w:r w:rsidR="007B4AF0" w:rsidRPr="00F96C06">
        <w:rPr>
          <w:rFonts w:ascii="Times New Roman" w:hAnsi="Times New Roman" w:cs="Times New Roman"/>
          <w:sz w:val="24"/>
          <w:szCs w:val="24"/>
        </w:rPr>
        <w:t xml:space="preserve"> </w:t>
      </w:r>
      <w:r w:rsidRPr="00F96C06">
        <w:rPr>
          <w:rFonts w:ascii="Times New Roman" w:hAnsi="Times New Roman" w:cs="Times New Roman"/>
          <w:sz w:val="24"/>
          <w:szCs w:val="24"/>
        </w:rPr>
        <w:t>2.</w:t>
      </w:r>
      <w:r w:rsidR="00F60444" w:rsidRPr="00F96C06">
        <w:rPr>
          <w:rFonts w:ascii="Times New Roman" w:hAnsi="Times New Roman" w:cs="Times New Roman"/>
          <w:sz w:val="24"/>
          <w:szCs w:val="24"/>
        </w:rPr>
        <w:t xml:space="preserve">  In 2021 NLRB ALJs issued 112 ULP decisions and settled 444 ULP cases.</w:t>
      </w:r>
    </w:p>
  </w:footnote>
  <w:footnote w:id="78">
    <w:p w14:paraId="6BE19C04" w14:textId="0B65E8EA" w:rsidR="00A07B28" w:rsidRPr="00F96C06" w:rsidRDefault="00A07B28" w:rsidP="00A07B2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For discussion of the division of power between investigators and agency prosecutors, see Van Loo, </w:t>
      </w:r>
      <w:r w:rsidR="00F26229" w:rsidRPr="00F96C06">
        <w:rPr>
          <w:rFonts w:ascii="Times New Roman" w:hAnsi="Times New Roman" w:cs="Times New Roman"/>
          <w:i/>
          <w:iCs/>
          <w:sz w:val="24"/>
          <w:szCs w:val="24"/>
        </w:rPr>
        <w:t xml:space="preserve">supra </w:t>
      </w:r>
      <w:r w:rsidR="00DA569D" w:rsidRPr="00F96C06">
        <w:rPr>
          <w:rFonts w:ascii="Times New Roman" w:hAnsi="Times New Roman" w:cs="Times New Roman"/>
          <w:sz w:val="24"/>
          <w:szCs w:val="24"/>
        </w:rPr>
        <w:t xml:space="preserve">note </w:t>
      </w:r>
      <w:r w:rsidR="00F26229" w:rsidRPr="00F96C06">
        <w:rPr>
          <w:rFonts w:ascii="Times New Roman" w:hAnsi="Times New Roman" w:cs="Times New Roman"/>
          <w:sz w:val="24"/>
          <w:szCs w:val="24"/>
        </w:rPr>
        <w:t>8</w:t>
      </w:r>
      <w:r w:rsidR="00DA569D" w:rsidRPr="00F96C06">
        <w:rPr>
          <w:rFonts w:ascii="Times New Roman" w:hAnsi="Times New Roman" w:cs="Times New Roman"/>
          <w:sz w:val="24"/>
          <w:szCs w:val="24"/>
        </w:rPr>
        <w:t xml:space="preserve">. </w:t>
      </w:r>
    </w:p>
  </w:footnote>
  <w:footnote w:id="79">
    <w:p w14:paraId="0B086158" w14:textId="78F0E01C" w:rsidR="005F56EB" w:rsidRPr="00F96C06" w:rsidRDefault="005F56EB" w:rsidP="00CB0E4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There is a vast literature on the subject of accountability in administrative law and public administration. See </w:t>
      </w:r>
      <w:r w:rsidR="00B24E27" w:rsidRPr="00F96C06">
        <w:rPr>
          <w:rFonts w:ascii="Times New Roman" w:hAnsi="Times New Roman" w:cs="Times New Roman"/>
          <w:smallCaps/>
          <w:sz w:val="24"/>
          <w:szCs w:val="24"/>
        </w:rPr>
        <w:t>The Oxford Handbook of Public Accountability</w:t>
      </w:r>
      <w:r w:rsidR="00B24E27" w:rsidRPr="00F96C06">
        <w:rPr>
          <w:rFonts w:ascii="Times New Roman" w:hAnsi="Times New Roman" w:cs="Times New Roman"/>
          <w:sz w:val="24"/>
          <w:szCs w:val="24"/>
        </w:rPr>
        <w:t xml:space="preserve"> (Mark Bovens, Robert E. Goodin &amp; Thomas Schillemans eds., 2014); </w:t>
      </w:r>
      <w:r w:rsidR="00B24E27" w:rsidRPr="00F96C06">
        <w:rPr>
          <w:rFonts w:ascii="Times New Roman" w:hAnsi="Times New Roman" w:cs="Times New Roman"/>
          <w:smallCaps/>
          <w:sz w:val="24"/>
          <w:szCs w:val="24"/>
        </w:rPr>
        <w:t>Elizabeth Fisher &amp; Sidney A. Shapiro,</w:t>
      </w:r>
      <w:r w:rsidR="00B24E27" w:rsidRPr="00F96C06">
        <w:rPr>
          <w:rFonts w:ascii="Times New Roman" w:hAnsi="Times New Roman" w:cs="Times New Roman"/>
          <w:iCs/>
          <w:smallCaps/>
          <w:sz w:val="24"/>
          <w:szCs w:val="24"/>
        </w:rPr>
        <w:t xml:space="preserve"> </w:t>
      </w:r>
      <w:r w:rsidR="00B24E27" w:rsidRPr="00F96C06">
        <w:rPr>
          <w:rFonts w:ascii="Times New Roman" w:eastAsia="Times New Roman" w:hAnsi="Times New Roman" w:cs="Times New Roman"/>
          <w:iCs/>
          <w:smallCaps/>
          <w:sz w:val="24"/>
          <w:szCs w:val="24"/>
        </w:rPr>
        <w:t xml:space="preserve">Administrative Competence: Reimagining Administrative Law, </w:t>
      </w:r>
      <w:r w:rsidR="00B24E27" w:rsidRPr="00F96C06">
        <w:rPr>
          <w:rFonts w:ascii="Times New Roman" w:eastAsia="Times New Roman" w:hAnsi="Times New Roman" w:cs="Times New Roman"/>
          <w:iCs/>
          <w:sz w:val="24"/>
          <w:szCs w:val="24"/>
        </w:rPr>
        <w:t>ch.</w:t>
      </w:r>
      <w:r w:rsidR="00B24E27" w:rsidRPr="00F96C06">
        <w:rPr>
          <w:rFonts w:ascii="Times New Roman" w:eastAsia="Times New Roman" w:hAnsi="Times New Roman" w:cs="Times New Roman"/>
          <w:iCs/>
          <w:smallCaps/>
          <w:sz w:val="24"/>
          <w:szCs w:val="24"/>
        </w:rPr>
        <w:t xml:space="preserve"> 3</w:t>
      </w:r>
      <w:r w:rsidR="00B24E27" w:rsidRPr="00F96C06">
        <w:rPr>
          <w:rFonts w:ascii="Times New Roman" w:eastAsia="Times New Roman" w:hAnsi="Times New Roman" w:cs="Times New Roman"/>
          <w:iCs/>
          <w:sz w:val="24"/>
          <w:szCs w:val="24"/>
        </w:rPr>
        <w:t xml:space="preserve"> (2020); </w:t>
      </w:r>
      <w:r w:rsidR="00F257E7" w:rsidRPr="00F96C06">
        <w:rPr>
          <w:rFonts w:ascii="Times New Roman" w:eastAsia="Times New Roman" w:hAnsi="Times New Roman" w:cs="Times New Roman"/>
          <w:iCs/>
          <w:sz w:val="24"/>
          <w:szCs w:val="24"/>
        </w:rPr>
        <w:t xml:space="preserve">Richman, </w:t>
      </w:r>
      <w:r w:rsidR="00F257E7" w:rsidRPr="00F96C06">
        <w:rPr>
          <w:rFonts w:ascii="Times New Roman" w:eastAsia="Times New Roman" w:hAnsi="Times New Roman" w:cs="Times New Roman"/>
          <w:i/>
          <w:sz w:val="24"/>
          <w:szCs w:val="24"/>
        </w:rPr>
        <w:t xml:space="preserve">supra </w:t>
      </w:r>
      <w:r w:rsidR="00F257E7" w:rsidRPr="00F96C06">
        <w:rPr>
          <w:rFonts w:ascii="Times New Roman" w:eastAsia="Times New Roman" w:hAnsi="Times New Roman" w:cs="Times New Roman"/>
          <w:iCs/>
          <w:sz w:val="24"/>
          <w:szCs w:val="24"/>
        </w:rPr>
        <w:t xml:space="preserve">note 5; </w:t>
      </w:r>
      <w:r w:rsidRPr="00F96C06">
        <w:rPr>
          <w:rFonts w:ascii="Times New Roman" w:hAnsi="Times New Roman" w:cs="Times New Roman"/>
          <w:sz w:val="24"/>
          <w:szCs w:val="24"/>
        </w:rPr>
        <w:t xml:space="preserve">Michael Asimow et al., </w:t>
      </w:r>
      <w:r w:rsidRPr="00F96C06">
        <w:rPr>
          <w:rFonts w:ascii="Times New Roman" w:hAnsi="Times New Roman" w:cs="Times New Roman"/>
          <w:bCs/>
          <w:i/>
          <w:iCs/>
          <w:color w:val="000000"/>
          <w:sz w:val="24"/>
          <w:szCs w:val="24"/>
        </w:rPr>
        <w:t>Ex Ante Administrative Review of the Legality of Regulations: A Comparative Approach</w:t>
      </w:r>
      <w:r w:rsidRPr="00F96C06">
        <w:rPr>
          <w:rFonts w:ascii="Times New Roman" w:hAnsi="Times New Roman" w:cs="Times New Roman"/>
          <w:bCs/>
          <w:color w:val="000000"/>
          <w:sz w:val="24"/>
          <w:szCs w:val="24"/>
        </w:rPr>
        <w:t xml:space="preserve">,  68 </w:t>
      </w:r>
      <w:r w:rsidRPr="00F96C06">
        <w:rPr>
          <w:rFonts w:ascii="Times New Roman" w:hAnsi="Times New Roman" w:cs="Times New Roman"/>
          <w:bCs/>
          <w:smallCaps/>
          <w:color w:val="000000"/>
          <w:sz w:val="24"/>
          <w:szCs w:val="24"/>
        </w:rPr>
        <w:t>Amer. J. of Comp. L.</w:t>
      </w:r>
      <w:r w:rsidRPr="00F96C06">
        <w:rPr>
          <w:rFonts w:ascii="Times New Roman" w:hAnsi="Times New Roman" w:cs="Times New Roman"/>
          <w:bCs/>
          <w:color w:val="000000"/>
          <w:sz w:val="24"/>
          <w:szCs w:val="24"/>
        </w:rPr>
        <w:t xml:space="preserve"> 332 (2020); </w:t>
      </w:r>
      <w:r w:rsidR="00B24E27" w:rsidRPr="00F96C06">
        <w:rPr>
          <w:rFonts w:ascii="Times New Roman" w:eastAsia="Times New Roman" w:hAnsi="Times New Roman" w:cs="Times New Roman"/>
          <w:iCs/>
          <w:sz w:val="24"/>
          <w:szCs w:val="24"/>
        </w:rPr>
        <w:t xml:space="preserve">Edward Rubin, </w:t>
      </w:r>
      <w:r w:rsidR="00B24E27" w:rsidRPr="00F96C06">
        <w:rPr>
          <w:rFonts w:ascii="Times New Roman" w:eastAsia="Times New Roman" w:hAnsi="Times New Roman" w:cs="Times New Roman"/>
          <w:i/>
          <w:sz w:val="24"/>
          <w:szCs w:val="24"/>
        </w:rPr>
        <w:t>The Myth of Accountability and the Anti-Administrative Impulse,</w:t>
      </w:r>
      <w:r w:rsidR="00301E68" w:rsidRPr="00F96C06">
        <w:rPr>
          <w:rFonts w:ascii="Times New Roman" w:eastAsia="Times New Roman" w:hAnsi="Times New Roman" w:cs="Times New Roman"/>
          <w:i/>
          <w:sz w:val="24"/>
          <w:szCs w:val="24"/>
        </w:rPr>
        <w:t xml:space="preserve"> </w:t>
      </w:r>
      <w:r w:rsidR="00B24E27" w:rsidRPr="00F96C06">
        <w:rPr>
          <w:rFonts w:ascii="Times New Roman" w:eastAsia="Times New Roman" w:hAnsi="Times New Roman" w:cs="Times New Roman"/>
          <w:iCs/>
          <w:sz w:val="24"/>
          <w:szCs w:val="24"/>
        </w:rPr>
        <w:t xml:space="preserve">103 </w:t>
      </w:r>
      <w:r w:rsidR="00B24E27" w:rsidRPr="00F96C06">
        <w:rPr>
          <w:rFonts w:ascii="Times New Roman" w:eastAsia="Times New Roman" w:hAnsi="Times New Roman" w:cs="Times New Roman"/>
          <w:iCs/>
          <w:smallCaps/>
          <w:sz w:val="24"/>
          <w:szCs w:val="24"/>
        </w:rPr>
        <w:t>Mich. L. Rev.</w:t>
      </w:r>
      <w:r w:rsidR="00B24E27" w:rsidRPr="00F96C06">
        <w:rPr>
          <w:rFonts w:ascii="Times New Roman" w:eastAsia="Times New Roman" w:hAnsi="Times New Roman" w:cs="Times New Roman"/>
          <w:iCs/>
          <w:sz w:val="24"/>
          <w:szCs w:val="24"/>
        </w:rPr>
        <w:t xml:space="preserve"> 2073, 2120-2134 (2005).  </w:t>
      </w:r>
      <w:r w:rsidR="00CB0E46" w:rsidRPr="00F96C06">
        <w:rPr>
          <w:rFonts w:ascii="Times New Roman" w:eastAsia="Times New Roman" w:hAnsi="Times New Roman" w:cs="Times New Roman"/>
          <w:iCs/>
          <w:sz w:val="24"/>
          <w:szCs w:val="24"/>
        </w:rPr>
        <w:t xml:space="preserve"> </w:t>
      </w:r>
      <w:r w:rsidR="00CB0E46"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  </w:t>
      </w:r>
    </w:p>
  </w:footnote>
  <w:footnote w:id="80">
    <w:p w14:paraId="02999067" w14:textId="31A8FE96" w:rsidR="005F56EB" w:rsidRPr="00F96C06" w:rsidRDefault="005F56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Sohoni, </w:t>
      </w:r>
      <w:r w:rsidR="00F26229"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F26229" w:rsidRPr="00F96C06">
        <w:rPr>
          <w:rFonts w:ascii="Times New Roman" w:hAnsi="Times New Roman" w:cs="Times New Roman"/>
          <w:sz w:val="24"/>
          <w:szCs w:val="24"/>
        </w:rPr>
        <w:t>8</w:t>
      </w:r>
      <w:r w:rsidRPr="00F96C06">
        <w:rPr>
          <w:rFonts w:ascii="Times New Roman" w:hAnsi="Times New Roman" w:cs="Times New Roman"/>
          <w:sz w:val="24"/>
          <w:szCs w:val="24"/>
        </w:rPr>
        <w:t xml:space="preserve"> at 42-47; Lemos</w:t>
      </w:r>
      <w:r w:rsidR="000B4F7C"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00F26229" w:rsidRPr="00F96C06">
        <w:rPr>
          <w:rFonts w:ascii="Times New Roman" w:hAnsi="Times New Roman" w:cs="Times New Roman"/>
          <w:i/>
          <w:iCs/>
          <w:sz w:val="24"/>
          <w:szCs w:val="24"/>
        </w:rPr>
        <w:t xml:space="preserve">supra </w:t>
      </w:r>
      <w:r w:rsidR="00DA569D" w:rsidRPr="00F96C06">
        <w:rPr>
          <w:rFonts w:ascii="Times New Roman" w:hAnsi="Times New Roman" w:cs="Times New Roman"/>
          <w:sz w:val="24"/>
          <w:szCs w:val="24"/>
        </w:rPr>
        <w:t>note</w:t>
      </w:r>
      <w:r w:rsidR="002E7225" w:rsidRPr="00F96C06">
        <w:rPr>
          <w:rFonts w:ascii="Times New Roman" w:hAnsi="Times New Roman" w:cs="Times New Roman"/>
          <w:sz w:val="24"/>
          <w:szCs w:val="24"/>
        </w:rPr>
        <w:t xml:space="preserve"> </w:t>
      </w:r>
      <w:r w:rsidR="00F26229" w:rsidRPr="00F96C06">
        <w:rPr>
          <w:rFonts w:ascii="Times New Roman" w:hAnsi="Times New Roman" w:cs="Times New Roman"/>
          <w:sz w:val="24"/>
          <w:szCs w:val="24"/>
        </w:rPr>
        <w:t>8</w:t>
      </w:r>
      <w:r w:rsidR="00DA569D"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at 968-79  (discussing absence of executive and legislative accountability mechanisms for </w:t>
      </w:r>
      <w:r w:rsidR="00196416" w:rsidRPr="00F96C06">
        <w:rPr>
          <w:rFonts w:ascii="Times New Roman" w:hAnsi="Times New Roman" w:cs="Times New Roman"/>
          <w:sz w:val="24"/>
          <w:szCs w:val="24"/>
        </w:rPr>
        <w:t xml:space="preserve">constraining </w:t>
      </w:r>
      <w:r w:rsidRPr="00F96C06">
        <w:rPr>
          <w:rFonts w:ascii="Times New Roman" w:hAnsi="Times New Roman" w:cs="Times New Roman"/>
          <w:sz w:val="24"/>
          <w:szCs w:val="24"/>
        </w:rPr>
        <w:t xml:space="preserve">enforcement).  </w:t>
      </w:r>
    </w:p>
  </w:footnote>
  <w:footnote w:id="81">
    <w:p w14:paraId="706FCD4F" w14:textId="3B391634" w:rsidR="000B4F7C" w:rsidRPr="00F96C06" w:rsidRDefault="000B4F7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v. Standard Oil Co. of California, 449 U.S. 232 (1980) (holding FTC’s “reason to believe” greenlighting determination is not a final order and thus </w:t>
      </w:r>
      <w:r w:rsidR="00196416" w:rsidRPr="00F96C06">
        <w:rPr>
          <w:rFonts w:ascii="Times New Roman" w:hAnsi="Times New Roman" w:cs="Times New Roman"/>
          <w:sz w:val="24"/>
          <w:szCs w:val="24"/>
        </w:rPr>
        <w:t>un</w:t>
      </w:r>
      <w:r w:rsidRPr="00F96C06">
        <w:rPr>
          <w:rFonts w:ascii="Times New Roman" w:hAnsi="Times New Roman" w:cs="Times New Roman"/>
          <w:sz w:val="24"/>
          <w:szCs w:val="24"/>
        </w:rPr>
        <w:t>reviewable).</w:t>
      </w:r>
    </w:p>
  </w:footnote>
  <w:footnote w:id="82">
    <w:p w14:paraId="61E5D205" w14:textId="4F1D35D2" w:rsidR="009F6595" w:rsidRPr="00F96C06" w:rsidRDefault="009F6595" w:rsidP="009F659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131948" w:rsidRPr="00F96C06">
        <w:rPr>
          <w:rFonts w:ascii="Times New Roman" w:hAnsi="Times New Roman" w:cs="Times New Roman"/>
          <w:sz w:val="24"/>
          <w:szCs w:val="24"/>
        </w:rPr>
        <w:t xml:space="preserve">5 U.S.C. </w:t>
      </w:r>
      <w:r w:rsidR="003D295A" w:rsidRPr="00F96C06">
        <w:rPr>
          <w:rFonts w:ascii="Times New Roman" w:hAnsi="Times New Roman" w:cs="Times New Roman"/>
          <w:sz w:val="24"/>
          <w:szCs w:val="24"/>
        </w:rPr>
        <w:t xml:space="preserve">§701(a)(2); </w:t>
      </w:r>
      <w:r w:rsidR="000B4F7C" w:rsidRPr="00F96C06">
        <w:rPr>
          <w:rFonts w:ascii="Times New Roman" w:hAnsi="Times New Roman" w:cs="Times New Roman"/>
          <w:sz w:val="24"/>
          <w:szCs w:val="24"/>
        </w:rPr>
        <w:t>Heckler v. Chaney, 470 U.S. 821 (1985);</w:t>
      </w:r>
      <w:r w:rsidR="008D3F2B" w:rsidRPr="00F96C06">
        <w:rPr>
          <w:rFonts w:ascii="Times New Roman" w:hAnsi="Times New Roman" w:cs="Times New Roman"/>
          <w:sz w:val="24"/>
          <w:szCs w:val="24"/>
        </w:rPr>
        <w:t xml:space="preserve"> </w:t>
      </w:r>
      <w:r w:rsidR="00731F9A" w:rsidRPr="00F96C06">
        <w:rPr>
          <w:rFonts w:ascii="Times New Roman" w:hAnsi="Times New Roman" w:cs="Times New Roman"/>
          <w:sz w:val="24"/>
          <w:szCs w:val="24"/>
        </w:rPr>
        <w:t>In re National Nurses United, 47 F.4</w:t>
      </w:r>
      <w:r w:rsidR="00731F9A" w:rsidRPr="00F96C06">
        <w:rPr>
          <w:rFonts w:ascii="Times New Roman" w:hAnsi="Times New Roman" w:cs="Times New Roman"/>
          <w:sz w:val="24"/>
          <w:szCs w:val="24"/>
          <w:vertAlign w:val="superscript"/>
        </w:rPr>
        <w:t>th</w:t>
      </w:r>
      <w:r w:rsidR="00731F9A" w:rsidRPr="00F96C06">
        <w:rPr>
          <w:rFonts w:ascii="Times New Roman" w:hAnsi="Times New Roman" w:cs="Times New Roman"/>
          <w:sz w:val="24"/>
          <w:szCs w:val="24"/>
        </w:rPr>
        <w:t xml:space="preserve"> 746, 757 (D.C. Cir. 2022) (how and whether OSHA enforces a regulation is committed to agency discretion); </w:t>
      </w:r>
      <w:r w:rsidR="00953BB2" w:rsidRPr="00F96C06">
        <w:rPr>
          <w:rFonts w:ascii="Times New Roman" w:hAnsi="Times New Roman" w:cs="Times New Roman"/>
          <w:sz w:val="24"/>
          <w:szCs w:val="24"/>
        </w:rPr>
        <w:t xml:space="preserve">Public Citizen v. FERC, 7 F.4th 1177, 1195-96 (D.C. Cir. 2021) (FERC decision to terminate market-manipulation investigation is not judicially reviewable even though its substantive decision in the same case was held to be arbitrary); </w:t>
      </w:r>
      <w:r w:rsidR="008D3F2B" w:rsidRPr="00F96C06">
        <w:rPr>
          <w:rFonts w:ascii="Times New Roman" w:hAnsi="Times New Roman" w:cs="Times New Roman"/>
          <w:sz w:val="24"/>
          <w:szCs w:val="24"/>
        </w:rPr>
        <w:t>Citizens for Responsibility and Ethics in Washington v. Federal Election Commission, 993 F.3d 880 (D.C. Cir. 2021) (court cannot review FEC’s deadlocked decision not to prosecute even though primarily based on a question of law since it was also based on prosecutorial discretion)</w:t>
      </w:r>
      <w:r w:rsidR="000B4F7C" w:rsidRPr="00F96C06">
        <w:rPr>
          <w:rFonts w:ascii="Times New Roman" w:hAnsi="Times New Roman" w:cs="Times New Roman"/>
          <w:sz w:val="24"/>
          <w:szCs w:val="24"/>
        </w:rPr>
        <w:t xml:space="preserve">; Lemos, </w:t>
      </w:r>
      <w:r w:rsidR="00131948" w:rsidRPr="00F96C06">
        <w:rPr>
          <w:rFonts w:ascii="Times New Roman" w:hAnsi="Times New Roman" w:cs="Times New Roman"/>
          <w:i/>
          <w:iCs/>
          <w:sz w:val="24"/>
          <w:szCs w:val="24"/>
        </w:rPr>
        <w:t xml:space="preserve">supra </w:t>
      </w:r>
      <w:r w:rsidR="000B4F7C" w:rsidRPr="00F96C06">
        <w:rPr>
          <w:rFonts w:ascii="Times New Roman" w:hAnsi="Times New Roman" w:cs="Times New Roman"/>
          <w:sz w:val="24"/>
          <w:szCs w:val="24"/>
        </w:rPr>
        <w:t xml:space="preserve">note </w:t>
      </w:r>
      <w:r w:rsidR="00131948" w:rsidRPr="00F96C06">
        <w:rPr>
          <w:rFonts w:ascii="Times New Roman" w:hAnsi="Times New Roman" w:cs="Times New Roman"/>
          <w:sz w:val="24"/>
          <w:szCs w:val="24"/>
        </w:rPr>
        <w:t>8</w:t>
      </w:r>
      <w:r w:rsidR="000B4F7C" w:rsidRPr="00F96C06">
        <w:rPr>
          <w:rFonts w:ascii="Times New Roman" w:hAnsi="Times New Roman" w:cs="Times New Roman"/>
          <w:sz w:val="24"/>
          <w:szCs w:val="24"/>
        </w:rPr>
        <w:t xml:space="preserve"> at 990-992</w:t>
      </w:r>
      <w:r w:rsidR="008D3F2B" w:rsidRPr="00F96C06">
        <w:rPr>
          <w:rFonts w:ascii="Times New Roman" w:hAnsi="Times New Roman" w:cs="Times New Roman"/>
          <w:sz w:val="24"/>
          <w:szCs w:val="24"/>
        </w:rPr>
        <w:t xml:space="preserve">. </w:t>
      </w:r>
    </w:p>
  </w:footnote>
  <w:footnote w:id="83">
    <w:p w14:paraId="1C132845" w14:textId="5BC7D7B2" w:rsidR="00044990" w:rsidRPr="00F96C06" w:rsidRDefault="0004499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B50602" w:rsidRPr="00F96C06">
        <w:rPr>
          <w:rFonts w:ascii="Times New Roman" w:hAnsi="Times New Roman" w:cs="Times New Roman"/>
          <w:sz w:val="24"/>
          <w:szCs w:val="24"/>
        </w:rPr>
        <w:t>In addition to the costs and delays inherent in the judicial review process, r</w:t>
      </w:r>
      <w:r w:rsidR="003D295A" w:rsidRPr="00F96C06">
        <w:rPr>
          <w:rFonts w:ascii="Times New Roman" w:hAnsi="Times New Roman" w:cs="Times New Roman"/>
          <w:sz w:val="24"/>
          <w:szCs w:val="24"/>
        </w:rPr>
        <w:t xml:space="preserve">egulated parties </w:t>
      </w:r>
      <w:r w:rsidR="00F91ACE" w:rsidRPr="00F96C06">
        <w:rPr>
          <w:rFonts w:ascii="Times New Roman" w:hAnsi="Times New Roman" w:cs="Times New Roman"/>
          <w:sz w:val="24"/>
          <w:szCs w:val="24"/>
        </w:rPr>
        <w:t xml:space="preserve">often </w:t>
      </w:r>
      <w:r w:rsidR="003D295A" w:rsidRPr="00F96C06">
        <w:rPr>
          <w:rFonts w:ascii="Times New Roman" w:hAnsi="Times New Roman" w:cs="Times New Roman"/>
          <w:sz w:val="24"/>
          <w:szCs w:val="24"/>
        </w:rPr>
        <w:t xml:space="preserve">fear that seeking judicial review of an enforcement decision </w:t>
      </w:r>
      <w:r w:rsidR="004564BB" w:rsidRPr="00F96C06">
        <w:rPr>
          <w:rFonts w:ascii="Times New Roman" w:hAnsi="Times New Roman" w:cs="Times New Roman"/>
          <w:sz w:val="24"/>
          <w:szCs w:val="24"/>
        </w:rPr>
        <w:t xml:space="preserve">could </w:t>
      </w:r>
      <w:r w:rsidR="003D295A" w:rsidRPr="00F96C06">
        <w:rPr>
          <w:rFonts w:ascii="Times New Roman" w:hAnsi="Times New Roman" w:cs="Times New Roman"/>
          <w:sz w:val="24"/>
          <w:szCs w:val="24"/>
        </w:rPr>
        <w:t xml:space="preserve">trigger </w:t>
      </w:r>
      <w:r w:rsidR="004B325B" w:rsidRPr="00F96C06">
        <w:rPr>
          <w:rFonts w:ascii="Times New Roman" w:hAnsi="Times New Roman" w:cs="Times New Roman"/>
          <w:sz w:val="24"/>
          <w:szCs w:val="24"/>
        </w:rPr>
        <w:t xml:space="preserve">reprisals </w:t>
      </w:r>
      <w:r w:rsidR="003D295A" w:rsidRPr="00F96C06">
        <w:rPr>
          <w:rFonts w:ascii="Times New Roman" w:hAnsi="Times New Roman" w:cs="Times New Roman"/>
          <w:sz w:val="24"/>
          <w:szCs w:val="24"/>
        </w:rPr>
        <w:t xml:space="preserve">from agencies </w:t>
      </w:r>
      <w:r w:rsidR="00F91ACE" w:rsidRPr="00F96C06">
        <w:rPr>
          <w:rFonts w:ascii="Times New Roman" w:hAnsi="Times New Roman" w:cs="Times New Roman"/>
          <w:sz w:val="24"/>
          <w:szCs w:val="24"/>
        </w:rPr>
        <w:t xml:space="preserve">with which they </w:t>
      </w:r>
      <w:r w:rsidR="003D295A" w:rsidRPr="00F96C06">
        <w:rPr>
          <w:rFonts w:ascii="Times New Roman" w:hAnsi="Times New Roman" w:cs="Times New Roman"/>
          <w:sz w:val="24"/>
          <w:szCs w:val="24"/>
        </w:rPr>
        <w:t>must maintain a good relationship</w:t>
      </w:r>
      <w:r w:rsidR="00F91ACE" w:rsidRPr="00F96C06">
        <w:rPr>
          <w:rFonts w:ascii="Times New Roman" w:hAnsi="Times New Roman" w:cs="Times New Roman"/>
          <w:sz w:val="24"/>
          <w:szCs w:val="24"/>
        </w:rPr>
        <w:t>.</w:t>
      </w:r>
      <w:r w:rsidR="003D295A"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Asimow, </w:t>
      </w:r>
      <w:r w:rsidR="00131948"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131948" w:rsidRPr="00F96C06">
        <w:rPr>
          <w:rFonts w:ascii="Times New Roman" w:hAnsi="Times New Roman" w:cs="Times New Roman"/>
          <w:sz w:val="24"/>
          <w:szCs w:val="24"/>
        </w:rPr>
        <w:t>79</w:t>
      </w:r>
      <w:r w:rsidR="00DA569D" w:rsidRPr="00F96C06">
        <w:rPr>
          <w:rFonts w:ascii="Times New Roman" w:hAnsi="Times New Roman" w:cs="Times New Roman"/>
          <w:sz w:val="24"/>
          <w:szCs w:val="24"/>
        </w:rPr>
        <w:t xml:space="preserve"> </w:t>
      </w:r>
      <w:r w:rsidRPr="00F96C06">
        <w:rPr>
          <w:rFonts w:ascii="Times New Roman" w:hAnsi="Times New Roman" w:cs="Times New Roman"/>
          <w:sz w:val="24"/>
          <w:szCs w:val="24"/>
        </w:rPr>
        <w:t>at</w:t>
      </w:r>
      <w:r w:rsidR="004B325B" w:rsidRPr="00F96C06">
        <w:rPr>
          <w:rFonts w:ascii="Times New Roman" w:hAnsi="Times New Roman" w:cs="Times New Roman"/>
          <w:sz w:val="24"/>
          <w:szCs w:val="24"/>
        </w:rPr>
        <w:t xml:space="preserve"> </w:t>
      </w:r>
      <w:r w:rsidR="006C7E0F" w:rsidRPr="00F96C06">
        <w:rPr>
          <w:rFonts w:ascii="Times New Roman" w:hAnsi="Times New Roman" w:cs="Times New Roman"/>
          <w:sz w:val="24"/>
          <w:szCs w:val="24"/>
        </w:rPr>
        <w:t>359.</w:t>
      </w:r>
    </w:p>
  </w:footnote>
  <w:footnote w:id="84">
    <w:p w14:paraId="2D5811B2" w14:textId="37CF6B2C" w:rsidR="00044990" w:rsidRPr="00F96C06" w:rsidRDefault="0004499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902202" w:rsidRPr="00F96C06">
        <w:rPr>
          <w:rFonts w:ascii="Times New Roman" w:hAnsi="Times New Roman" w:cs="Times New Roman"/>
          <w:sz w:val="24"/>
          <w:szCs w:val="24"/>
        </w:rPr>
        <w:t>T</w:t>
      </w:r>
      <w:r w:rsidR="007A031C" w:rsidRPr="00F96C06">
        <w:rPr>
          <w:rFonts w:ascii="Times New Roman" w:hAnsi="Times New Roman" w:cs="Times New Roman"/>
          <w:sz w:val="24"/>
          <w:szCs w:val="24"/>
        </w:rPr>
        <w:t>he</w:t>
      </w:r>
      <w:r w:rsidR="00902202" w:rsidRPr="00F96C06">
        <w:rPr>
          <w:rFonts w:ascii="Times New Roman" w:hAnsi="Times New Roman" w:cs="Times New Roman"/>
          <w:sz w:val="24"/>
          <w:szCs w:val="24"/>
        </w:rPr>
        <w:t xml:space="preserve"> executive branch </w:t>
      </w:r>
      <w:r w:rsidR="007A031C" w:rsidRPr="00F96C06">
        <w:rPr>
          <w:rFonts w:ascii="Times New Roman" w:hAnsi="Times New Roman" w:cs="Times New Roman"/>
          <w:sz w:val="24"/>
          <w:szCs w:val="24"/>
        </w:rPr>
        <w:t>could, of course</w:t>
      </w:r>
      <w:r w:rsidR="00902202" w:rsidRPr="00F96C06">
        <w:rPr>
          <w:rFonts w:ascii="Times New Roman" w:hAnsi="Times New Roman" w:cs="Times New Roman"/>
          <w:sz w:val="24"/>
          <w:szCs w:val="24"/>
        </w:rPr>
        <w:t>,</w:t>
      </w:r>
      <w:r w:rsidR="007A031C" w:rsidRPr="00F96C06">
        <w:rPr>
          <w:rFonts w:ascii="Times New Roman" w:hAnsi="Times New Roman" w:cs="Times New Roman"/>
          <w:sz w:val="24"/>
          <w:szCs w:val="24"/>
        </w:rPr>
        <w:t xml:space="preserve"> influence or overturn an agency’s prosecutorial guidelines (see </w:t>
      </w:r>
      <w:r w:rsidR="00902202" w:rsidRPr="00F96C06">
        <w:rPr>
          <w:rFonts w:ascii="Times New Roman" w:hAnsi="Times New Roman" w:cs="Times New Roman"/>
          <w:sz w:val="24"/>
          <w:szCs w:val="24"/>
        </w:rPr>
        <w:t xml:space="preserve">text at notes 207-12, </w:t>
      </w:r>
      <w:r w:rsidR="00902202" w:rsidRPr="00F96C06">
        <w:rPr>
          <w:rFonts w:ascii="Times New Roman" w:hAnsi="Times New Roman" w:cs="Times New Roman"/>
          <w:i/>
          <w:iCs/>
          <w:sz w:val="24"/>
          <w:szCs w:val="24"/>
        </w:rPr>
        <w:t>infra</w:t>
      </w:r>
      <w:r w:rsidR="00902202" w:rsidRPr="00F96C06">
        <w:rPr>
          <w:rFonts w:ascii="Times New Roman" w:hAnsi="Times New Roman" w:cs="Times New Roman"/>
          <w:sz w:val="24"/>
          <w:szCs w:val="24"/>
        </w:rPr>
        <w:t xml:space="preserve"> for discussion of guidelines)</w:t>
      </w:r>
      <w:r w:rsidR="00C40389" w:rsidRPr="00F96C06">
        <w:rPr>
          <w:rFonts w:ascii="Times New Roman" w:hAnsi="Times New Roman" w:cs="Times New Roman"/>
          <w:sz w:val="24"/>
          <w:szCs w:val="24"/>
        </w:rPr>
        <w:t xml:space="preserve"> or impose its own enforcement priorities, at least on executive branch agencies. </w:t>
      </w:r>
      <w:r w:rsidR="007A031C" w:rsidRPr="00F96C06">
        <w:rPr>
          <w:rFonts w:ascii="Times New Roman" w:hAnsi="Times New Roman" w:cs="Times New Roman"/>
          <w:sz w:val="24"/>
          <w:szCs w:val="24"/>
        </w:rPr>
        <w:t xml:space="preserve"> </w:t>
      </w:r>
      <w:r w:rsidR="00902202" w:rsidRPr="00F96C06">
        <w:rPr>
          <w:rFonts w:ascii="Times New Roman" w:hAnsi="Times New Roman" w:cs="Times New Roman"/>
          <w:sz w:val="24"/>
          <w:szCs w:val="24"/>
        </w:rPr>
        <w:t xml:space="preserve">It could also </w:t>
      </w:r>
      <w:r w:rsidRPr="00F96C06">
        <w:rPr>
          <w:rFonts w:ascii="Times New Roman" w:hAnsi="Times New Roman" w:cs="Times New Roman"/>
          <w:sz w:val="24"/>
          <w:szCs w:val="24"/>
        </w:rPr>
        <w:t>seek to dictate enforcement priorities by manipulating the agency’s budget</w:t>
      </w:r>
      <w:r w:rsidR="00902202" w:rsidRPr="00F96C06">
        <w:rPr>
          <w:rFonts w:ascii="Times New Roman" w:hAnsi="Times New Roman" w:cs="Times New Roman"/>
          <w:sz w:val="24"/>
          <w:szCs w:val="24"/>
        </w:rPr>
        <w:t xml:space="preserve"> and through the process of appointing agency heads or high-level staff. </w:t>
      </w:r>
      <w:r w:rsidR="004564BB" w:rsidRPr="00F96C06">
        <w:rPr>
          <w:rFonts w:ascii="Times New Roman" w:hAnsi="Times New Roman" w:cs="Times New Roman"/>
          <w:sz w:val="24"/>
          <w:szCs w:val="24"/>
        </w:rPr>
        <w:t xml:space="preserve"> </w:t>
      </w:r>
      <w:r w:rsidR="00C40389" w:rsidRPr="00F96C06">
        <w:rPr>
          <w:rFonts w:ascii="Times New Roman" w:hAnsi="Times New Roman" w:cs="Times New Roman"/>
          <w:sz w:val="24"/>
          <w:szCs w:val="24"/>
        </w:rPr>
        <w:t xml:space="preserve">See, e.g., Zachary S. Price, </w:t>
      </w:r>
      <w:r w:rsidR="00C40389" w:rsidRPr="00F96C06">
        <w:rPr>
          <w:rFonts w:ascii="Times New Roman" w:hAnsi="Times New Roman" w:cs="Times New Roman"/>
          <w:i/>
          <w:iCs/>
          <w:sz w:val="24"/>
          <w:szCs w:val="24"/>
        </w:rPr>
        <w:t>Politics of Nonenforcement,</w:t>
      </w:r>
      <w:r w:rsidR="00C40389" w:rsidRPr="00F96C06">
        <w:rPr>
          <w:rFonts w:ascii="Times New Roman" w:hAnsi="Times New Roman" w:cs="Times New Roman"/>
          <w:sz w:val="24"/>
          <w:szCs w:val="24"/>
        </w:rPr>
        <w:t xml:space="preserve"> 65 </w:t>
      </w:r>
      <w:r w:rsidR="00C40389" w:rsidRPr="00F96C06">
        <w:rPr>
          <w:rFonts w:ascii="Times New Roman" w:hAnsi="Times New Roman" w:cs="Times New Roman"/>
          <w:smallCaps/>
          <w:sz w:val="24"/>
          <w:szCs w:val="24"/>
        </w:rPr>
        <w:t>Case Western L. Rev.</w:t>
      </w:r>
      <w:r w:rsidR="00C40389" w:rsidRPr="00F96C06">
        <w:rPr>
          <w:rFonts w:ascii="Times New Roman" w:hAnsi="Times New Roman" w:cs="Times New Roman"/>
          <w:sz w:val="24"/>
          <w:szCs w:val="24"/>
        </w:rPr>
        <w:t xml:space="preserve"> 1119 (2015). </w:t>
      </w:r>
      <w:r w:rsidR="004564BB" w:rsidRPr="00F96C06">
        <w:rPr>
          <w:rFonts w:ascii="Times New Roman" w:hAnsi="Times New Roman" w:cs="Times New Roman"/>
          <w:sz w:val="24"/>
          <w:szCs w:val="24"/>
        </w:rPr>
        <w:t xml:space="preserve">However, executive </w:t>
      </w:r>
      <w:r w:rsidRPr="00F96C06">
        <w:rPr>
          <w:rFonts w:ascii="Times New Roman" w:hAnsi="Times New Roman" w:cs="Times New Roman"/>
          <w:sz w:val="24"/>
          <w:szCs w:val="24"/>
        </w:rPr>
        <w:t xml:space="preserve">involvement with individual enforcement decisions is rare.  Andrias, </w:t>
      </w:r>
      <w:r w:rsidR="00131948" w:rsidRPr="00F96C06">
        <w:rPr>
          <w:rFonts w:ascii="Times New Roman" w:hAnsi="Times New Roman" w:cs="Times New Roman"/>
          <w:i/>
          <w:iCs/>
          <w:sz w:val="24"/>
          <w:szCs w:val="24"/>
        </w:rPr>
        <w:t>supra</w:t>
      </w:r>
      <w:r w:rsidR="00131948" w:rsidRPr="00F96C06">
        <w:rPr>
          <w:rFonts w:ascii="Times New Roman" w:hAnsi="Times New Roman" w:cs="Times New Roman"/>
          <w:sz w:val="24"/>
          <w:szCs w:val="24"/>
        </w:rPr>
        <w:t xml:space="preserve"> note </w:t>
      </w:r>
      <w:r w:rsidR="00165F51" w:rsidRPr="00F96C06">
        <w:rPr>
          <w:rFonts w:ascii="Times New Roman" w:hAnsi="Times New Roman" w:cs="Times New Roman"/>
          <w:sz w:val="24"/>
          <w:szCs w:val="24"/>
        </w:rPr>
        <w:t xml:space="preserve">8; </w:t>
      </w:r>
      <w:r w:rsidRPr="00F96C06">
        <w:rPr>
          <w:rFonts w:ascii="Times New Roman" w:hAnsi="Times New Roman" w:cs="Times New Roman"/>
          <w:sz w:val="24"/>
          <w:szCs w:val="24"/>
        </w:rPr>
        <w:t xml:space="preserve"> </w:t>
      </w:r>
      <w:r w:rsidR="0001317B" w:rsidRPr="00F96C06">
        <w:rPr>
          <w:rFonts w:ascii="Times New Roman" w:hAnsi="Times New Roman" w:cs="Times New Roman"/>
          <w:sz w:val="24"/>
          <w:szCs w:val="24"/>
        </w:rPr>
        <w:t xml:space="preserve">Memorandum from White </w:t>
      </w:r>
      <w:r w:rsidR="0001317B" w:rsidRPr="00F96C06">
        <w:rPr>
          <w:rFonts w:ascii="Times New Roman" w:hAnsi="Times New Roman" w:cs="Times New Roman"/>
          <w:sz w:val="24"/>
          <w:szCs w:val="24"/>
        </w:rPr>
        <w:br/>
        <w:t xml:space="preserve">House Counsel Dana Remus, July 21, 2021, </w:t>
      </w:r>
      <w:hyperlink r:id="rId4" w:history="1">
        <w:r w:rsidR="0001317B" w:rsidRPr="00F96C06">
          <w:rPr>
            <w:rStyle w:val="Hyperlink"/>
            <w:rFonts w:ascii="Times New Roman" w:hAnsi="Times New Roman" w:cs="Times New Roman"/>
            <w:sz w:val="24"/>
            <w:szCs w:val="24"/>
          </w:rPr>
          <w:t>https://www.whitehouse.gov/wp-content/uploads/2021/07/White-House-Policy-for-Contacts-with-Agencies-and-Departments.pdf?emci=12770deb-dfef-eb11-a7ad-501ac57b8fa7&amp;emdi=eea5f50a-86f0-eb11-b563-501ac57b8fa7&amp;ceid=203637</w:t>
        </w:r>
      </w:hyperlink>
      <w:r w:rsidR="0001317B" w:rsidRPr="00F96C06">
        <w:rPr>
          <w:rFonts w:ascii="Times New Roman" w:hAnsi="Times New Roman" w:cs="Times New Roman"/>
          <w:sz w:val="24"/>
          <w:szCs w:val="24"/>
        </w:rPr>
        <w:t xml:space="preserve">.  </w:t>
      </w:r>
      <w:r w:rsidR="00902202" w:rsidRPr="00F96C06">
        <w:rPr>
          <w:rFonts w:ascii="Times New Roman" w:hAnsi="Times New Roman" w:cs="Times New Roman"/>
          <w:sz w:val="24"/>
          <w:szCs w:val="24"/>
        </w:rPr>
        <w:t xml:space="preserve">Congress could also influence or overturn </w:t>
      </w:r>
      <w:r w:rsidR="00C40389" w:rsidRPr="00F96C06">
        <w:rPr>
          <w:rFonts w:ascii="Times New Roman" w:hAnsi="Times New Roman" w:cs="Times New Roman"/>
          <w:sz w:val="24"/>
          <w:szCs w:val="24"/>
        </w:rPr>
        <w:t xml:space="preserve">an agency’s </w:t>
      </w:r>
      <w:r w:rsidR="00902202" w:rsidRPr="00F96C06">
        <w:rPr>
          <w:rFonts w:ascii="Times New Roman" w:hAnsi="Times New Roman" w:cs="Times New Roman"/>
          <w:sz w:val="24"/>
          <w:szCs w:val="24"/>
        </w:rPr>
        <w:t xml:space="preserve">prosecutorial guidelines, but </w:t>
      </w:r>
      <w:r w:rsidRPr="00F96C06">
        <w:rPr>
          <w:rFonts w:ascii="Times New Roman" w:hAnsi="Times New Roman" w:cs="Times New Roman"/>
          <w:sz w:val="24"/>
          <w:szCs w:val="24"/>
        </w:rPr>
        <w:t>Congressional interference in a pending adjudication is</w:t>
      </w:r>
      <w:r w:rsidR="0001317B"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improper and could be a due process violation. Pillsbury Co. v. FTC, 345 F.2d 952 (5th Cir. 1980). </w:t>
      </w:r>
    </w:p>
  </w:footnote>
  <w:footnote w:id="85">
    <w:p w14:paraId="4BF7FBD1" w14:textId="2D48E0CC" w:rsidR="005F56EB" w:rsidRPr="00F96C06" w:rsidRDefault="005F56EB" w:rsidP="005F56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5 U</w:t>
      </w:r>
      <w:r w:rsidR="00165F51" w:rsidRPr="00F96C06">
        <w:rPr>
          <w:rFonts w:ascii="Times New Roman" w:hAnsi="Times New Roman" w:cs="Times New Roman"/>
          <w:sz w:val="24"/>
          <w:szCs w:val="24"/>
        </w:rPr>
        <w:t>.</w:t>
      </w:r>
      <w:r w:rsidRPr="00F96C06">
        <w:rPr>
          <w:rFonts w:ascii="Times New Roman" w:hAnsi="Times New Roman" w:cs="Times New Roman"/>
          <w:sz w:val="24"/>
          <w:szCs w:val="24"/>
        </w:rPr>
        <w:t>S</w:t>
      </w:r>
      <w:r w:rsidR="00165F51" w:rsidRPr="00F96C06">
        <w:rPr>
          <w:rFonts w:ascii="Times New Roman" w:hAnsi="Times New Roman" w:cs="Times New Roman"/>
          <w:sz w:val="24"/>
          <w:szCs w:val="24"/>
        </w:rPr>
        <w:t>.</w:t>
      </w:r>
      <w:r w:rsidRPr="00F96C06">
        <w:rPr>
          <w:rFonts w:ascii="Times New Roman" w:hAnsi="Times New Roman" w:cs="Times New Roman"/>
          <w:sz w:val="24"/>
          <w:szCs w:val="24"/>
        </w:rPr>
        <w:t>C</w:t>
      </w:r>
      <w:r w:rsidR="00165F51" w:rsidRPr="00F96C06">
        <w:rPr>
          <w:rFonts w:ascii="Times New Roman" w:hAnsi="Times New Roman" w:cs="Times New Roman"/>
          <w:sz w:val="24"/>
          <w:szCs w:val="24"/>
        </w:rPr>
        <w:t>.</w:t>
      </w:r>
      <w:r w:rsidRPr="00F96C06">
        <w:rPr>
          <w:rFonts w:ascii="Times New Roman" w:hAnsi="Times New Roman" w:cs="Times New Roman"/>
          <w:sz w:val="24"/>
          <w:szCs w:val="24"/>
        </w:rPr>
        <w:t xml:space="preserve"> §552b(c)(10). </w:t>
      </w:r>
    </w:p>
  </w:footnote>
  <w:footnote w:id="86">
    <w:p w14:paraId="038451A1" w14:textId="06CC5A6C" w:rsidR="005F56EB" w:rsidRPr="00F96C06" w:rsidRDefault="005F56EB" w:rsidP="005F56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5 U</w:t>
      </w:r>
      <w:r w:rsidR="00165F51" w:rsidRPr="00F96C06">
        <w:rPr>
          <w:rFonts w:ascii="Times New Roman" w:hAnsi="Times New Roman" w:cs="Times New Roman"/>
          <w:sz w:val="24"/>
          <w:szCs w:val="24"/>
        </w:rPr>
        <w:t>.</w:t>
      </w:r>
      <w:r w:rsidRPr="00F96C06">
        <w:rPr>
          <w:rFonts w:ascii="Times New Roman" w:hAnsi="Times New Roman" w:cs="Times New Roman"/>
          <w:sz w:val="24"/>
          <w:szCs w:val="24"/>
        </w:rPr>
        <w:t>S</w:t>
      </w:r>
      <w:r w:rsidR="00165F51" w:rsidRPr="00F96C06">
        <w:rPr>
          <w:rFonts w:ascii="Times New Roman" w:hAnsi="Times New Roman" w:cs="Times New Roman"/>
          <w:sz w:val="24"/>
          <w:szCs w:val="24"/>
        </w:rPr>
        <w:t>.</w:t>
      </w:r>
      <w:r w:rsidRPr="00F96C06">
        <w:rPr>
          <w:rFonts w:ascii="Times New Roman" w:hAnsi="Times New Roman" w:cs="Times New Roman"/>
          <w:sz w:val="24"/>
          <w:szCs w:val="24"/>
        </w:rPr>
        <w:t>C</w:t>
      </w:r>
      <w:r w:rsidR="00165F51" w:rsidRPr="00F96C06">
        <w:rPr>
          <w:rFonts w:ascii="Times New Roman" w:hAnsi="Times New Roman" w:cs="Times New Roman"/>
          <w:sz w:val="24"/>
          <w:szCs w:val="24"/>
        </w:rPr>
        <w:t>.</w:t>
      </w:r>
      <w:r w:rsidRPr="00F96C06">
        <w:rPr>
          <w:rFonts w:ascii="Times New Roman" w:hAnsi="Times New Roman" w:cs="Times New Roman"/>
          <w:sz w:val="24"/>
          <w:szCs w:val="24"/>
        </w:rPr>
        <w:t xml:space="preserve"> §552(b)(5); NLRB v. Sears, Roebuck &amp; Co., 421 U.S. 132 (1975).</w:t>
      </w:r>
      <w:r w:rsidR="00B50602" w:rsidRPr="00F96C06">
        <w:rPr>
          <w:rFonts w:ascii="Times New Roman" w:hAnsi="Times New Roman" w:cs="Times New Roman"/>
          <w:sz w:val="24"/>
          <w:szCs w:val="24"/>
        </w:rPr>
        <w:t xml:space="preserve"> One former agency member told me that the chair concealed critical information about the charging process even from that member. FCC 2. </w:t>
      </w:r>
    </w:p>
  </w:footnote>
  <w:footnote w:id="87">
    <w:p w14:paraId="4C7FA056" w14:textId="4CEDA91A" w:rsidR="00ED01EA" w:rsidRPr="00F96C06" w:rsidRDefault="00ED01EA" w:rsidP="00ED01E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044990" w:rsidRPr="00F96C06">
        <w:rPr>
          <w:rFonts w:ascii="Times New Roman" w:hAnsi="Times New Roman" w:cs="Times New Roman"/>
          <w:sz w:val="24"/>
          <w:szCs w:val="24"/>
        </w:rPr>
        <w:t xml:space="preserve">See </w:t>
      </w:r>
      <w:r w:rsidR="004F7DB2" w:rsidRPr="00F96C06">
        <w:rPr>
          <w:rFonts w:ascii="Times New Roman" w:hAnsi="Times New Roman" w:cs="Times New Roman"/>
          <w:sz w:val="24"/>
          <w:szCs w:val="24"/>
        </w:rPr>
        <w:t xml:space="preserve">Barkow, </w:t>
      </w:r>
      <w:r w:rsidR="00165F51" w:rsidRPr="00F96C06">
        <w:rPr>
          <w:rFonts w:ascii="Times New Roman" w:hAnsi="Times New Roman" w:cs="Times New Roman"/>
          <w:i/>
          <w:iCs/>
          <w:sz w:val="24"/>
          <w:szCs w:val="24"/>
        </w:rPr>
        <w:t xml:space="preserve">supra </w:t>
      </w:r>
      <w:r w:rsidR="00044990" w:rsidRPr="00F96C06">
        <w:rPr>
          <w:rFonts w:ascii="Times New Roman" w:hAnsi="Times New Roman" w:cs="Times New Roman"/>
          <w:sz w:val="24"/>
          <w:szCs w:val="24"/>
        </w:rPr>
        <w:t xml:space="preserve">note </w:t>
      </w:r>
      <w:r w:rsidR="00165F51" w:rsidRPr="00F96C06">
        <w:rPr>
          <w:rFonts w:ascii="Times New Roman" w:hAnsi="Times New Roman" w:cs="Times New Roman"/>
          <w:sz w:val="24"/>
          <w:szCs w:val="24"/>
        </w:rPr>
        <w:t>8</w:t>
      </w:r>
      <w:r w:rsidR="00044990" w:rsidRPr="00F96C06">
        <w:rPr>
          <w:rFonts w:ascii="Times New Roman" w:hAnsi="Times New Roman" w:cs="Times New Roman"/>
          <w:sz w:val="24"/>
          <w:szCs w:val="24"/>
        </w:rPr>
        <w:t xml:space="preserve"> at </w:t>
      </w:r>
      <w:r w:rsidR="004F7DB2" w:rsidRPr="00F96C06">
        <w:rPr>
          <w:rFonts w:ascii="Times New Roman" w:hAnsi="Times New Roman" w:cs="Times New Roman"/>
          <w:sz w:val="24"/>
          <w:szCs w:val="24"/>
        </w:rPr>
        <w:t>1131-38</w:t>
      </w:r>
      <w:r w:rsidR="00A368B6"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p>
  </w:footnote>
  <w:footnote w:id="88">
    <w:p w14:paraId="256657E4" w14:textId="473F5CD4" w:rsidR="00DA1408" w:rsidRPr="00F96C06" w:rsidRDefault="00DA1408" w:rsidP="00DA140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6A3573" w:rsidRPr="00F96C06">
        <w:rPr>
          <w:rFonts w:ascii="Times New Roman" w:hAnsi="Times New Roman" w:cs="Times New Roman"/>
          <w:sz w:val="24"/>
          <w:szCs w:val="24"/>
        </w:rPr>
        <w:t>T</w:t>
      </w:r>
      <w:r w:rsidRPr="00F96C06">
        <w:rPr>
          <w:rFonts w:ascii="Times New Roman" w:hAnsi="Times New Roman" w:cs="Times New Roman"/>
          <w:sz w:val="24"/>
          <w:szCs w:val="24"/>
        </w:rPr>
        <w:t xml:space="preserve">here is a rich literature on internal administrative law, </w:t>
      </w:r>
      <w:r w:rsidR="006A3573" w:rsidRPr="00F96C06">
        <w:rPr>
          <w:rFonts w:ascii="Times New Roman" w:hAnsi="Times New Roman" w:cs="Times New Roman"/>
          <w:sz w:val="24"/>
          <w:szCs w:val="24"/>
        </w:rPr>
        <w:t xml:space="preserve">but </w:t>
      </w:r>
      <w:r w:rsidRPr="00F96C06">
        <w:rPr>
          <w:rFonts w:ascii="Times New Roman" w:hAnsi="Times New Roman" w:cs="Times New Roman"/>
          <w:sz w:val="24"/>
          <w:szCs w:val="24"/>
        </w:rPr>
        <w:t xml:space="preserve">none of </w:t>
      </w:r>
      <w:r w:rsidR="00B95833" w:rsidRPr="00F96C06">
        <w:rPr>
          <w:rFonts w:ascii="Times New Roman" w:hAnsi="Times New Roman" w:cs="Times New Roman"/>
          <w:sz w:val="24"/>
          <w:szCs w:val="24"/>
        </w:rPr>
        <w:t xml:space="preserve">it </w:t>
      </w:r>
      <w:r w:rsidRPr="00F96C06">
        <w:rPr>
          <w:rFonts w:ascii="Times New Roman" w:hAnsi="Times New Roman" w:cs="Times New Roman"/>
          <w:sz w:val="24"/>
          <w:szCs w:val="24"/>
        </w:rPr>
        <w:t xml:space="preserve">concentrates on the problem of checking enforcement discretion. </w:t>
      </w:r>
      <w:r w:rsidRPr="00F96C06">
        <w:rPr>
          <w:rFonts w:ascii="Times New Roman" w:hAnsi="Times New Roman" w:cs="Times New Roman"/>
          <w:i/>
          <w:iCs/>
          <w:sz w:val="24"/>
          <w:szCs w:val="24"/>
        </w:rPr>
        <w:t>See</w:t>
      </w:r>
      <w:r w:rsidRPr="00F96C06">
        <w:rPr>
          <w:rFonts w:ascii="Times New Roman" w:hAnsi="Times New Roman" w:cs="Times New Roman"/>
          <w:sz w:val="24"/>
          <w:szCs w:val="24"/>
        </w:rPr>
        <w:t xml:space="preserve"> Jennifer Nou, </w:t>
      </w:r>
      <w:r w:rsidRPr="00F96C06">
        <w:rPr>
          <w:rFonts w:ascii="Times New Roman" w:hAnsi="Times New Roman" w:cs="Times New Roman"/>
          <w:i/>
          <w:iCs/>
          <w:sz w:val="24"/>
          <w:szCs w:val="24"/>
        </w:rPr>
        <w:t xml:space="preserve">Intra-Agency Coordination, </w:t>
      </w:r>
      <w:r w:rsidRPr="00F96C06">
        <w:rPr>
          <w:rFonts w:ascii="Times New Roman" w:hAnsi="Times New Roman" w:cs="Times New Roman"/>
          <w:sz w:val="24"/>
          <w:szCs w:val="24"/>
        </w:rPr>
        <w:t xml:space="preserve">129 </w:t>
      </w:r>
      <w:r w:rsidRPr="00F96C06">
        <w:rPr>
          <w:rFonts w:ascii="Times New Roman" w:hAnsi="Times New Roman" w:cs="Times New Roman"/>
          <w:smallCaps/>
          <w:sz w:val="24"/>
          <w:szCs w:val="24"/>
        </w:rPr>
        <w:t>Harv. L. Rev.</w:t>
      </w:r>
      <w:r w:rsidRPr="00F96C06">
        <w:rPr>
          <w:rFonts w:ascii="Times New Roman" w:hAnsi="Times New Roman" w:cs="Times New Roman"/>
          <w:sz w:val="24"/>
          <w:szCs w:val="24"/>
        </w:rPr>
        <w:t xml:space="preserve"> 421 (2015);</w:t>
      </w:r>
      <w:r w:rsidRPr="00F96C06">
        <w:rPr>
          <w:rFonts w:ascii="Times New Roman" w:hAnsi="Times New Roman" w:cs="Times New Roman"/>
          <w:i/>
          <w:iCs/>
          <w:sz w:val="24"/>
          <w:szCs w:val="24"/>
        </w:rPr>
        <w:t xml:space="preserve"> </w:t>
      </w:r>
      <w:r w:rsidRPr="00F96C06">
        <w:rPr>
          <w:rFonts w:ascii="Times New Roman" w:hAnsi="Times New Roman" w:cs="Times New Roman"/>
          <w:sz w:val="24"/>
          <w:szCs w:val="24"/>
        </w:rPr>
        <w:t xml:space="preserve"> Gillian E</w:t>
      </w:r>
      <w:r w:rsidR="006A3573" w:rsidRPr="00F96C06">
        <w:rPr>
          <w:rFonts w:ascii="Times New Roman" w:hAnsi="Times New Roman" w:cs="Times New Roman"/>
          <w:sz w:val="24"/>
          <w:szCs w:val="24"/>
        </w:rPr>
        <w:t>.</w:t>
      </w:r>
      <w:r w:rsidRPr="00F96C06">
        <w:rPr>
          <w:rFonts w:ascii="Times New Roman" w:hAnsi="Times New Roman" w:cs="Times New Roman"/>
          <w:sz w:val="24"/>
          <w:szCs w:val="24"/>
        </w:rPr>
        <w:t xml:space="preserve"> Metzger &amp; Kevin M</w:t>
      </w:r>
      <w:r w:rsidR="006A3573" w:rsidRPr="00F96C06">
        <w:rPr>
          <w:rFonts w:ascii="Times New Roman" w:hAnsi="Times New Roman" w:cs="Times New Roman"/>
          <w:sz w:val="24"/>
          <w:szCs w:val="24"/>
        </w:rPr>
        <w:t>.</w:t>
      </w:r>
      <w:r w:rsidRPr="00F96C06">
        <w:rPr>
          <w:rFonts w:ascii="Times New Roman" w:hAnsi="Times New Roman" w:cs="Times New Roman"/>
          <w:sz w:val="24"/>
          <w:szCs w:val="24"/>
        </w:rPr>
        <w:t xml:space="preserve"> Stack, </w:t>
      </w:r>
      <w:r w:rsidRPr="00F96C06">
        <w:rPr>
          <w:rFonts w:ascii="Times New Roman" w:hAnsi="Times New Roman" w:cs="Times New Roman"/>
          <w:i/>
          <w:iCs/>
          <w:sz w:val="24"/>
          <w:szCs w:val="24"/>
        </w:rPr>
        <w:t xml:space="preserve">Internal Administrative Law, </w:t>
      </w:r>
      <w:r w:rsidRPr="00F96C06">
        <w:rPr>
          <w:rFonts w:ascii="Times New Roman" w:hAnsi="Times New Roman" w:cs="Times New Roman"/>
          <w:sz w:val="24"/>
          <w:szCs w:val="24"/>
        </w:rPr>
        <w:t xml:space="preserve">115 </w:t>
      </w:r>
      <w:r w:rsidRPr="00F96C06">
        <w:rPr>
          <w:rFonts w:ascii="Times New Roman" w:hAnsi="Times New Roman" w:cs="Times New Roman"/>
          <w:smallCaps/>
          <w:sz w:val="24"/>
          <w:szCs w:val="24"/>
        </w:rPr>
        <w:t xml:space="preserve">Mich. L. Rev. </w:t>
      </w:r>
      <w:r w:rsidRPr="00F96C06">
        <w:rPr>
          <w:rFonts w:ascii="Times New Roman" w:hAnsi="Times New Roman" w:cs="Times New Roman"/>
          <w:sz w:val="24"/>
          <w:szCs w:val="24"/>
        </w:rPr>
        <w:t xml:space="preserve"> 1239 (2017); Elizabeth Magill, </w:t>
      </w:r>
      <w:r w:rsidRPr="00F96C06">
        <w:rPr>
          <w:rFonts w:ascii="Times New Roman" w:hAnsi="Times New Roman" w:cs="Times New Roman"/>
          <w:i/>
          <w:iCs/>
          <w:sz w:val="24"/>
          <w:szCs w:val="24"/>
        </w:rPr>
        <w:t xml:space="preserve">Agency Self-Regulation, </w:t>
      </w:r>
      <w:r w:rsidRPr="00F96C06">
        <w:rPr>
          <w:rFonts w:ascii="Times New Roman" w:hAnsi="Times New Roman" w:cs="Times New Roman"/>
          <w:sz w:val="24"/>
          <w:szCs w:val="24"/>
        </w:rPr>
        <w:t xml:space="preserve">77 </w:t>
      </w:r>
      <w:r w:rsidRPr="00F96C06">
        <w:rPr>
          <w:rFonts w:ascii="Times New Roman" w:hAnsi="Times New Roman" w:cs="Times New Roman"/>
          <w:smallCaps/>
          <w:sz w:val="24"/>
          <w:szCs w:val="24"/>
        </w:rPr>
        <w:t xml:space="preserve">Geo Wash L. Rev. </w:t>
      </w:r>
      <w:r w:rsidRPr="00F96C06">
        <w:rPr>
          <w:rFonts w:ascii="Times New Roman" w:hAnsi="Times New Roman" w:cs="Times New Roman"/>
          <w:sz w:val="24"/>
          <w:szCs w:val="24"/>
        </w:rPr>
        <w:t xml:space="preserve">859, 884-88 (2009); Sidney A. Shapiro &amp; Ronald F. Wright, </w:t>
      </w:r>
      <w:r w:rsidRPr="00F96C06">
        <w:rPr>
          <w:rFonts w:ascii="Times New Roman" w:hAnsi="Times New Roman" w:cs="Times New Roman"/>
          <w:i/>
          <w:iCs/>
          <w:sz w:val="24"/>
          <w:szCs w:val="24"/>
        </w:rPr>
        <w:t>The Future of the Administrative Presidency: Turning Administrative Law Inside Out,</w:t>
      </w:r>
      <w:r w:rsidRPr="00F96C06">
        <w:rPr>
          <w:rFonts w:ascii="Times New Roman" w:hAnsi="Times New Roman" w:cs="Times New Roman"/>
          <w:sz w:val="24"/>
          <w:szCs w:val="24"/>
        </w:rPr>
        <w:t xml:space="preserve"> 65 </w:t>
      </w:r>
      <w:r w:rsidRPr="00F96C06">
        <w:rPr>
          <w:rFonts w:ascii="Times New Roman" w:hAnsi="Times New Roman" w:cs="Times New Roman"/>
          <w:smallCaps/>
          <w:sz w:val="24"/>
          <w:szCs w:val="24"/>
        </w:rPr>
        <w:t>U. of Miami L. Rev.</w:t>
      </w:r>
      <w:r w:rsidRPr="00F96C06">
        <w:rPr>
          <w:rFonts w:ascii="Times New Roman" w:hAnsi="Times New Roman" w:cs="Times New Roman"/>
          <w:sz w:val="24"/>
          <w:szCs w:val="24"/>
        </w:rPr>
        <w:t xml:space="preserve"> 577 (2011)</w:t>
      </w:r>
      <w:r w:rsidR="002B2A01" w:rsidRPr="00F96C06">
        <w:rPr>
          <w:rFonts w:ascii="Times New Roman" w:hAnsi="Times New Roman" w:cs="Times New Roman"/>
          <w:sz w:val="24"/>
          <w:szCs w:val="24"/>
        </w:rPr>
        <w:t>.</w:t>
      </w:r>
    </w:p>
  </w:footnote>
  <w:footnote w:id="89">
    <w:p w14:paraId="36778944" w14:textId="16D1C740" w:rsidR="00D75EB0" w:rsidRPr="00F96C06" w:rsidRDefault="00D75EB0" w:rsidP="00D75EB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The necessity of agency head approval of charging decisions was recognized as far back as 1941 </w:t>
      </w:r>
      <w:r w:rsidRPr="00F96C06">
        <w:rPr>
          <w:rFonts w:ascii="Times New Roman" w:hAnsi="Times New Roman" w:cs="Times New Roman"/>
          <w:i/>
          <w:iCs/>
          <w:sz w:val="24"/>
          <w:szCs w:val="24"/>
        </w:rPr>
        <w:t>Report of the Attorney General’s Committee on Administrative Procedure</w:t>
      </w:r>
      <w:r w:rsidRPr="00F96C06">
        <w:rPr>
          <w:rFonts w:ascii="Times New Roman" w:hAnsi="Times New Roman" w:cs="Times New Roman"/>
          <w:sz w:val="24"/>
          <w:szCs w:val="24"/>
        </w:rPr>
        <w:t xml:space="preserve"> which formed the rationale for enactment of the APA in 1946.  See Daniel J. Gifford, </w:t>
      </w:r>
      <w:r w:rsidRPr="00F96C06">
        <w:rPr>
          <w:rFonts w:ascii="Times New Roman" w:hAnsi="Times New Roman" w:cs="Times New Roman"/>
          <w:i/>
          <w:iCs/>
          <w:sz w:val="24"/>
          <w:szCs w:val="24"/>
        </w:rPr>
        <w:t>Adjudication in Independent Tribunals: The Role of an Alternative Agency Structure</w:t>
      </w:r>
      <w:r w:rsidRPr="00F96C06">
        <w:rPr>
          <w:rFonts w:ascii="Times New Roman" w:hAnsi="Times New Roman" w:cs="Times New Roman"/>
          <w:sz w:val="24"/>
          <w:szCs w:val="24"/>
        </w:rPr>
        <w:t xml:space="preserve">, 66 </w:t>
      </w:r>
      <w:r w:rsidRPr="00F96C06">
        <w:rPr>
          <w:rFonts w:ascii="Times New Roman" w:hAnsi="Times New Roman" w:cs="Times New Roman"/>
          <w:smallCaps/>
          <w:sz w:val="24"/>
          <w:szCs w:val="24"/>
        </w:rPr>
        <w:t>Notre Dame L. Rev.</w:t>
      </w:r>
      <w:r w:rsidRPr="00F96C06">
        <w:rPr>
          <w:rFonts w:ascii="Times New Roman" w:hAnsi="Times New Roman" w:cs="Times New Roman"/>
          <w:sz w:val="24"/>
          <w:szCs w:val="24"/>
        </w:rPr>
        <w:t xml:space="preserve"> 965, 978 (1991). </w:t>
      </w:r>
    </w:p>
  </w:footnote>
  <w:footnote w:id="90">
    <w:p w14:paraId="290CCD5E" w14:textId="581188E4" w:rsidR="00EB1791" w:rsidRPr="00F96C06" w:rsidRDefault="00EB1791" w:rsidP="00EB1791">
      <w:r w:rsidRPr="00F96C06">
        <w:rPr>
          <w:rStyle w:val="FootnoteReference"/>
        </w:rPr>
        <w:footnoteRef/>
      </w:r>
      <w:r w:rsidRPr="00F96C06">
        <w:t xml:space="preserve"> Of course, if the caseload does not permit agency head</w:t>
      </w:r>
      <w:r w:rsidR="00646C67" w:rsidRPr="00F96C06">
        <w:t>s to practice</w:t>
      </w:r>
      <w:r w:rsidRPr="00F96C06">
        <w:t xml:space="preserve"> </w:t>
      </w:r>
      <w:r w:rsidR="002B2A01" w:rsidRPr="00F96C06">
        <w:t xml:space="preserve">greenlighting, </w:t>
      </w:r>
      <w:r w:rsidR="00646C67" w:rsidRPr="00F96C06">
        <w:t xml:space="preserve">Congress or the agency should devise </w:t>
      </w:r>
      <w:r w:rsidRPr="00F96C06">
        <w:t xml:space="preserve">other </w:t>
      </w:r>
      <w:r w:rsidR="00646C67" w:rsidRPr="00F96C06">
        <w:t xml:space="preserve">accountability mechanisms.  </w:t>
      </w:r>
      <w:r w:rsidRPr="00F96C06">
        <w:t>Gifford</w:t>
      </w:r>
      <w:r w:rsidR="004B325B" w:rsidRPr="00F96C06">
        <w:t xml:space="preserve">, </w:t>
      </w:r>
      <w:r w:rsidR="00165F51" w:rsidRPr="00F96C06">
        <w:rPr>
          <w:i/>
          <w:iCs/>
        </w:rPr>
        <w:t xml:space="preserve">supra </w:t>
      </w:r>
      <w:r w:rsidR="004B325B" w:rsidRPr="00F96C06">
        <w:t xml:space="preserve">note </w:t>
      </w:r>
      <w:r w:rsidR="00165F51" w:rsidRPr="00F96C06">
        <w:t>89</w:t>
      </w:r>
      <w:r w:rsidR="004B325B" w:rsidRPr="00F96C06">
        <w:t xml:space="preserve"> at</w:t>
      </w:r>
      <w:r w:rsidRPr="00F96C06">
        <w:t xml:space="preserve"> 992-1000</w:t>
      </w:r>
      <w:r w:rsidR="002B2A01" w:rsidRPr="00F96C06">
        <w:t xml:space="preserve">. </w:t>
      </w:r>
      <w:r w:rsidR="002B2A01" w:rsidRPr="00F96C06">
        <w:rPr>
          <w:i/>
          <w:iCs/>
        </w:rPr>
        <w:t>See</w:t>
      </w:r>
      <w:r w:rsidR="002B2A01" w:rsidRPr="00F96C06">
        <w:t xml:space="preserve"> </w:t>
      </w:r>
      <w:r w:rsidR="00165F51" w:rsidRPr="00F96C06">
        <w:t>P</w:t>
      </w:r>
      <w:r w:rsidR="000E26D2" w:rsidRPr="00F96C06">
        <w:t xml:space="preserve">art V. H. </w:t>
      </w:r>
    </w:p>
  </w:footnote>
  <w:footnote w:id="91">
    <w:p w14:paraId="3120B8A4" w14:textId="2FAE5C09" w:rsidR="00D75EB0" w:rsidRPr="00F96C06" w:rsidRDefault="00D75EB0" w:rsidP="00D75EB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4B325B" w:rsidRPr="00F96C06">
        <w:rPr>
          <w:rFonts w:ascii="Times New Roman" w:hAnsi="Times New Roman" w:cs="Times New Roman"/>
          <w:sz w:val="24"/>
          <w:szCs w:val="24"/>
        </w:rPr>
        <w:t xml:space="preserve">Part I. </w:t>
      </w:r>
    </w:p>
  </w:footnote>
  <w:footnote w:id="92">
    <w:p w14:paraId="164A6537" w14:textId="05D3643A" w:rsidR="00164635" w:rsidRPr="00F96C06" w:rsidRDefault="00164635" w:rsidP="0016463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For discussion of the centrality of resource allocation and priority-setting</w:t>
      </w:r>
      <w:r w:rsidR="00D104CD" w:rsidRPr="00F96C06">
        <w:rPr>
          <w:rFonts w:ascii="Times New Roman" w:hAnsi="Times New Roman" w:cs="Times New Roman"/>
          <w:sz w:val="24"/>
          <w:szCs w:val="24"/>
        </w:rPr>
        <w:t>,</w:t>
      </w:r>
      <w:r w:rsidRPr="00F96C06">
        <w:rPr>
          <w:rFonts w:ascii="Times New Roman" w:hAnsi="Times New Roman" w:cs="Times New Roman"/>
          <w:sz w:val="24"/>
          <w:szCs w:val="24"/>
        </w:rPr>
        <w:t xml:space="preserve"> see Eric Biber, </w:t>
      </w:r>
      <w:r w:rsidRPr="00F96C06">
        <w:rPr>
          <w:rFonts w:ascii="Times New Roman" w:hAnsi="Times New Roman" w:cs="Times New Roman"/>
          <w:i/>
          <w:iCs/>
          <w:sz w:val="24"/>
          <w:szCs w:val="24"/>
        </w:rPr>
        <w:t xml:space="preserve">The Importance of Resource Allocation in Administrative Law, </w:t>
      </w:r>
      <w:r w:rsidRPr="00F96C06">
        <w:rPr>
          <w:rFonts w:ascii="Times New Roman" w:hAnsi="Times New Roman" w:cs="Times New Roman"/>
          <w:sz w:val="24"/>
          <w:szCs w:val="24"/>
        </w:rPr>
        <w:t xml:space="preserve">60 </w:t>
      </w:r>
      <w:r w:rsidRPr="00F96C06">
        <w:rPr>
          <w:rFonts w:ascii="Times New Roman" w:hAnsi="Times New Roman" w:cs="Times New Roman"/>
          <w:smallCaps/>
          <w:sz w:val="24"/>
          <w:szCs w:val="24"/>
        </w:rPr>
        <w:t xml:space="preserve">Admin. L. Rev. </w:t>
      </w:r>
      <w:r w:rsidRPr="00F96C06">
        <w:rPr>
          <w:rFonts w:ascii="Times New Roman" w:hAnsi="Times New Roman" w:cs="Times New Roman"/>
          <w:sz w:val="24"/>
          <w:szCs w:val="24"/>
        </w:rPr>
        <w:t>1, 16-24 (2008)</w:t>
      </w:r>
      <w:r w:rsidR="006C763B" w:rsidRPr="00F96C06">
        <w:rPr>
          <w:rFonts w:ascii="Times New Roman" w:hAnsi="Times New Roman" w:cs="Times New Roman"/>
          <w:sz w:val="24"/>
          <w:szCs w:val="24"/>
        </w:rPr>
        <w:t xml:space="preserve">; Bornstein, </w:t>
      </w:r>
      <w:r w:rsidR="006C763B" w:rsidRPr="00F96C06">
        <w:rPr>
          <w:rFonts w:ascii="Times New Roman" w:hAnsi="Times New Roman" w:cs="Times New Roman"/>
          <w:i/>
          <w:iCs/>
          <w:sz w:val="24"/>
          <w:szCs w:val="24"/>
        </w:rPr>
        <w:t>supra</w:t>
      </w:r>
      <w:r w:rsidR="006C763B" w:rsidRPr="00F96C06">
        <w:rPr>
          <w:rFonts w:ascii="Times New Roman" w:hAnsi="Times New Roman" w:cs="Times New Roman"/>
          <w:sz w:val="24"/>
          <w:szCs w:val="24"/>
        </w:rPr>
        <w:t xml:space="preserve"> note </w:t>
      </w:r>
      <w:r w:rsidR="000868EA" w:rsidRPr="00F96C06">
        <w:rPr>
          <w:rFonts w:ascii="Times New Roman" w:hAnsi="Times New Roman" w:cs="Times New Roman"/>
          <w:sz w:val="24"/>
          <w:szCs w:val="24"/>
        </w:rPr>
        <w:t>8</w:t>
      </w:r>
      <w:r w:rsidR="006C763B" w:rsidRPr="00F96C06">
        <w:rPr>
          <w:rFonts w:ascii="Times New Roman" w:hAnsi="Times New Roman" w:cs="Times New Roman"/>
          <w:sz w:val="24"/>
          <w:szCs w:val="24"/>
        </w:rPr>
        <w:t xml:space="preserve"> at 859-62 (discussing diminishing budgetary resources for enforcement). </w:t>
      </w:r>
    </w:p>
  </w:footnote>
  <w:footnote w:id="93">
    <w:p w14:paraId="403B5475" w14:textId="0227C828" w:rsidR="002B2A01" w:rsidRPr="00F96C06" w:rsidRDefault="002B2A0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Legal scholars often urge that pub</w:t>
      </w:r>
      <w:r w:rsidR="00BA7AD5" w:rsidRPr="00F96C06">
        <w:rPr>
          <w:rFonts w:ascii="Times New Roman" w:hAnsi="Times New Roman" w:cs="Times New Roman"/>
          <w:sz w:val="24"/>
          <w:szCs w:val="24"/>
        </w:rPr>
        <w:t>l</w:t>
      </w:r>
      <w:r w:rsidRPr="00F96C06">
        <w:rPr>
          <w:rFonts w:ascii="Times New Roman" w:hAnsi="Times New Roman" w:cs="Times New Roman"/>
          <w:sz w:val="24"/>
          <w:szCs w:val="24"/>
        </w:rPr>
        <w:t>ic administration principles be incorporated in administrative law</w:t>
      </w:r>
      <w:r w:rsidR="0090411B"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005A7075" w:rsidRPr="00F96C06">
        <w:rPr>
          <w:rFonts w:ascii="Times New Roman" w:hAnsi="Times New Roman" w:cs="Times New Roman"/>
          <w:sz w:val="24"/>
          <w:szCs w:val="24"/>
        </w:rPr>
        <w:t xml:space="preserve">The </w:t>
      </w:r>
      <w:r w:rsidR="000868EA" w:rsidRPr="00F96C06">
        <w:rPr>
          <w:rFonts w:ascii="Times New Roman" w:hAnsi="Times New Roman" w:cs="Times New Roman"/>
          <w:sz w:val="24"/>
          <w:szCs w:val="24"/>
        </w:rPr>
        <w:t>primary concern of</w:t>
      </w:r>
      <w:r w:rsidR="005A7075" w:rsidRPr="00F96C06">
        <w:rPr>
          <w:rFonts w:ascii="Times New Roman" w:hAnsi="Times New Roman" w:cs="Times New Roman"/>
          <w:sz w:val="24"/>
          <w:szCs w:val="24"/>
        </w:rPr>
        <w:t xml:space="preserve"> p</w:t>
      </w:r>
      <w:r w:rsidRPr="00F96C06">
        <w:rPr>
          <w:rFonts w:ascii="Times New Roman" w:hAnsi="Times New Roman" w:cs="Times New Roman"/>
          <w:sz w:val="24"/>
          <w:szCs w:val="24"/>
        </w:rPr>
        <w:t xml:space="preserve">ublic administration </w:t>
      </w:r>
      <w:r w:rsidR="000868EA" w:rsidRPr="00F96C06">
        <w:rPr>
          <w:rFonts w:ascii="Times New Roman" w:hAnsi="Times New Roman" w:cs="Times New Roman"/>
          <w:sz w:val="24"/>
          <w:szCs w:val="24"/>
        </w:rPr>
        <w:t xml:space="preserve">theory is to make </w:t>
      </w:r>
      <w:r w:rsidRPr="00F96C06">
        <w:rPr>
          <w:rFonts w:ascii="Times New Roman" w:hAnsi="Times New Roman" w:cs="Times New Roman"/>
          <w:sz w:val="24"/>
          <w:szCs w:val="24"/>
        </w:rPr>
        <w:t xml:space="preserve">government </w:t>
      </w:r>
      <w:r w:rsidR="005A7075" w:rsidRPr="00F96C06">
        <w:rPr>
          <w:rFonts w:ascii="Times New Roman" w:hAnsi="Times New Roman" w:cs="Times New Roman"/>
          <w:sz w:val="24"/>
          <w:szCs w:val="24"/>
        </w:rPr>
        <w:t xml:space="preserve">institutions </w:t>
      </w:r>
      <w:r w:rsidRPr="00F96C06">
        <w:rPr>
          <w:rFonts w:ascii="Times New Roman" w:hAnsi="Times New Roman" w:cs="Times New Roman"/>
          <w:sz w:val="24"/>
          <w:szCs w:val="24"/>
        </w:rPr>
        <w:t xml:space="preserve">work </w:t>
      </w:r>
      <w:r w:rsidR="00F9657D" w:rsidRPr="00F96C06">
        <w:rPr>
          <w:rFonts w:ascii="Times New Roman" w:hAnsi="Times New Roman" w:cs="Times New Roman"/>
          <w:sz w:val="24"/>
          <w:szCs w:val="24"/>
        </w:rPr>
        <w:t xml:space="preserve">competently </w:t>
      </w:r>
      <w:r w:rsidR="005A7075" w:rsidRPr="00F96C06">
        <w:rPr>
          <w:rFonts w:ascii="Times New Roman" w:hAnsi="Times New Roman" w:cs="Times New Roman"/>
          <w:sz w:val="24"/>
          <w:szCs w:val="24"/>
        </w:rPr>
        <w:t>and efficiently</w:t>
      </w:r>
      <w:r w:rsidR="00F94BD4" w:rsidRPr="00F96C06">
        <w:rPr>
          <w:rFonts w:ascii="Times New Roman" w:hAnsi="Times New Roman" w:cs="Times New Roman"/>
          <w:sz w:val="24"/>
          <w:szCs w:val="24"/>
        </w:rPr>
        <w:t xml:space="preserve">. </w:t>
      </w:r>
      <w:r w:rsidR="000868EA" w:rsidRPr="00F96C06">
        <w:rPr>
          <w:rFonts w:ascii="Times New Roman" w:hAnsi="Times New Roman" w:cs="Times New Roman"/>
          <w:sz w:val="24"/>
          <w:szCs w:val="24"/>
        </w:rPr>
        <w:t xml:space="preserve">In contrast, the primary concern of </w:t>
      </w:r>
      <w:r w:rsidRPr="00F96C06">
        <w:rPr>
          <w:rFonts w:ascii="Times New Roman" w:hAnsi="Times New Roman" w:cs="Times New Roman"/>
          <w:sz w:val="24"/>
          <w:szCs w:val="24"/>
        </w:rPr>
        <w:t xml:space="preserve">administrative law </w:t>
      </w:r>
      <w:r w:rsidR="000868EA" w:rsidRPr="00F96C06">
        <w:rPr>
          <w:rFonts w:ascii="Times New Roman" w:hAnsi="Times New Roman" w:cs="Times New Roman"/>
          <w:sz w:val="24"/>
          <w:szCs w:val="24"/>
        </w:rPr>
        <w:t xml:space="preserve">theory is to </w:t>
      </w:r>
      <w:r w:rsidR="00175DD2" w:rsidRPr="00F96C06">
        <w:rPr>
          <w:rFonts w:ascii="Times New Roman" w:hAnsi="Times New Roman" w:cs="Times New Roman"/>
          <w:sz w:val="24"/>
          <w:szCs w:val="24"/>
        </w:rPr>
        <w:t xml:space="preserve">impose </w:t>
      </w:r>
      <w:r w:rsidR="00E60779" w:rsidRPr="00F96C06">
        <w:rPr>
          <w:rFonts w:ascii="Times New Roman" w:hAnsi="Times New Roman" w:cs="Times New Roman"/>
          <w:sz w:val="24"/>
          <w:szCs w:val="24"/>
        </w:rPr>
        <w:t xml:space="preserve">constraints </w:t>
      </w:r>
      <w:r w:rsidR="00B46DEB" w:rsidRPr="00F96C06">
        <w:rPr>
          <w:rFonts w:ascii="Times New Roman" w:hAnsi="Times New Roman" w:cs="Times New Roman"/>
          <w:sz w:val="24"/>
          <w:szCs w:val="24"/>
        </w:rPr>
        <w:t xml:space="preserve">upon </w:t>
      </w:r>
      <w:r w:rsidR="00F9657D" w:rsidRPr="00F96C06">
        <w:rPr>
          <w:rFonts w:ascii="Times New Roman" w:hAnsi="Times New Roman" w:cs="Times New Roman"/>
          <w:sz w:val="24"/>
          <w:szCs w:val="24"/>
        </w:rPr>
        <w:t xml:space="preserve">administrative functions </w:t>
      </w:r>
      <w:r w:rsidRPr="00F96C06">
        <w:rPr>
          <w:rFonts w:ascii="Times New Roman" w:hAnsi="Times New Roman" w:cs="Times New Roman"/>
          <w:sz w:val="24"/>
          <w:szCs w:val="24"/>
        </w:rPr>
        <w:t xml:space="preserve">that favor </w:t>
      </w:r>
      <w:r w:rsidR="00F9657D" w:rsidRPr="00F96C06">
        <w:rPr>
          <w:rFonts w:ascii="Times New Roman" w:hAnsi="Times New Roman" w:cs="Times New Roman"/>
          <w:sz w:val="24"/>
          <w:szCs w:val="24"/>
        </w:rPr>
        <w:t xml:space="preserve">regulated </w:t>
      </w:r>
      <w:r w:rsidRPr="00F96C06">
        <w:rPr>
          <w:rFonts w:ascii="Times New Roman" w:hAnsi="Times New Roman" w:cs="Times New Roman"/>
          <w:sz w:val="24"/>
          <w:szCs w:val="24"/>
        </w:rPr>
        <w:t>parties</w:t>
      </w:r>
      <w:r w:rsidR="00F9657D"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See</w:t>
      </w:r>
      <w:r w:rsidRPr="00F96C06">
        <w:rPr>
          <w:rFonts w:ascii="Times New Roman" w:hAnsi="Times New Roman" w:cs="Times New Roman"/>
          <w:sz w:val="24"/>
          <w:szCs w:val="24"/>
        </w:rPr>
        <w:t xml:space="preserve"> </w:t>
      </w:r>
      <w:r w:rsidR="00CB0E46" w:rsidRPr="00F96C06">
        <w:rPr>
          <w:rFonts w:ascii="Times New Roman" w:hAnsi="Times New Roman" w:cs="Times New Roman"/>
          <w:smallCaps/>
          <w:sz w:val="24"/>
          <w:szCs w:val="24"/>
        </w:rPr>
        <w:t>Fisher &amp; Shapiro</w:t>
      </w:r>
      <w:r w:rsidR="00CB0E46" w:rsidRPr="00F96C06">
        <w:rPr>
          <w:rFonts w:ascii="Times New Roman" w:hAnsi="Times New Roman" w:cs="Times New Roman"/>
          <w:sz w:val="24"/>
          <w:szCs w:val="24"/>
        </w:rPr>
        <w:t xml:space="preserve">, </w:t>
      </w:r>
      <w:r w:rsidR="00CB0E46" w:rsidRPr="00F96C06">
        <w:rPr>
          <w:rFonts w:ascii="Times New Roman" w:hAnsi="Times New Roman" w:cs="Times New Roman"/>
          <w:i/>
          <w:iCs/>
          <w:sz w:val="24"/>
          <w:szCs w:val="24"/>
        </w:rPr>
        <w:t>supra</w:t>
      </w:r>
      <w:r w:rsidR="00CB0E46" w:rsidRPr="00F96C06">
        <w:rPr>
          <w:rFonts w:ascii="Times New Roman" w:hAnsi="Times New Roman" w:cs="Times New Roman"/>
          <w:sz w:val="24"/>
          <w:szCs w:val="24"/>
        </w:rPr>
        <w:t xml:space="preserve"> note </w:t>
      </w:r>
      <w:r w:rsidR="00A33148" w:rsidRPr="00F96C06">
        <w:rPr>
          <w:rFonts w:ascii="Times New Roman" w:hAnsi="Times New Roman" w:cs="Times New Roman"/>
          <w:sz w:val="24"/>
          <w:szCs w:val="24"/>
        </w:rPr>
        <w:t>79</w:t>
      </w:r>
      <w:r w:rsidR="00CB0E46" w:rsidRPr="00F96C06">
        <w:rPr>
          <w:rFonts w:ascii="Times New Roman" w:hAnsi="Times New Roman" w:cs="Times New Roman"/>
          <w:sz w:val="24"/>
          <w:szCs w:val="24"/>
        </w:rPr>
        <w:t>, ch. 1</w:t>
      </w:r>
      <w:r w:rsidR="0090411B" w:rsidRPr="00F96C06">
        <w:rPr>
          <w:rFonts w:ascii="Times New Roman" w:hAnsi="Times New Roman" w:cs="Times New Roman"/>
          <w:sz w:val="24"/>
          <w:szCs w:val="24"/>
        </w:rPr>
        <w:t xml:space="preserve">; Harlow &amp; Rawlings, </w:t>
      </w:r>
      <w:r w:rsidR="004E0CE5" w:rsidRPr="00F96C06">
        <w:rPr>
          <w:rFonts w:ascii="Times New Roman" w:hAnsi="Times New Roman" w:cs="Times New Roman"/>
          <w:i/>
          <w:iCs/>
          <w:sz w:val="24"/>
          <w:szCs w:val="24"/>
        </w:rPr>
        <w:t xml:space="preserve">supra </w:t>
      </w:r>
      <w:r w:rsidR="0090411B" w:rsidRPr="00F96C06">
        <w:rPr>
          <w:rFonts w:ascii="Times New Roman" w:hAnsi="Times New Roman" w:cs="Times New Roman"/>
          <w:sz w:val="24"/>
          <w:szCs w:val="24"/>
        </w:rPr>
        <w:t xml:space="preserve">note </w:t>
      </w:r>
      <w:r w:rsidR="004E0CE5" w:rsidRPr="00F96C06">
        <w:rPr>
          <w:rFonts w:ascii="Times New Roman" w:hAnsi="Times New Roman" w:cs="Times New Roman"/>
          <w:sz w:val="24"/>
          <w:szCs w:val="24"/>
        </w:rPr>
        <w:t>3</w:t>
      </w:r>
      <w:r w:rsidR="00F94BD4" w:rsidRPr="00F96C06">
        <w:rPr>
          <w:rFonts w:ascii="Times New Roman" w:hAnsi="Times New Roman" w:cs="Times New Roman"/>
          <w:sz w:val="24"/>
          <w:szCs w:val="24"/>
        </w:rPr>
        <w:t xml:space="preserve"> (distinguishing redlight and greenlight theories). </w:t>
      </w:r>
      <w:r w:rsidR="004E0CE5" w:rsidRPr="00F96C06">
        <w:rPr>
          <w:rFonts w:ascii="Times New Roman" w:hAnsi="Times New Roman" w:cs="Times New Roman"/>
          <w:sz w:val="24"/>
          <w:szCs w:val="24"/>
        </w:rPr>
        <w:t xml:space="preserve"> </w:t>
      </w:r>
    </w:p>
  </w:footnote>
  <w:footnote w:id="94">
    <w:p w14:paraId="25954BD0" w14:textId="77777777" w:rsidR="00EA60B2" w:rsidRPr="00F96C06" w:rsidRDefault="00EA60B2" w:rsidP="00EA60B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Indeed, Professor Metzger has argued that agency heads are constitutionally obligated to supervise the staff.  Gillian E. Metzger, </w:t>
      </w:r>
      <w:r w:rsidRPr="00F96C06">
        <w:rPr>
          <w:rFonts w:ascii="Times New Roman" w:hAnsi="Times New Roman" w:cs="Times New Roman"/>
          <w:i/>
          <w:iCs/>
          <w:sz w:val="24"/>
          <w:szCs w:val="24"/>
        </w:rPr>
        <w:t xml:space="preserve">The Constitutional Duty to Supervise, </w:t>
      </w:r>
      <w:r w:rsidRPr="00F96C06">
        <w:rPr>
          <w:rFonts w:ascii="Times New Roman" w:hAnsi="Times New Roman" w:cs="Times New Roman"/>
          <w:sz w:val="24"/>
          <w:szCs w:val="24"/>
        </w:rPr>
        <w:t xml:space="preserve">124 </w:t>
      </w:r>
      <w:r w:rsidRPr="00F96C06">
        <w:rPr>
          <w:rFonts w:ascii="Times New Roman" w:hAnsi="Times New Roman" w:cs="Times New Roman"/>
          <w:smallCaps/>
          <w:sz w:val="24"/>
          <w:szCs w:val="24"/>
        </w:rPr>
        <w:t xml:space="preserve">Yale L. J. </w:t>
      </w:r>
      <w:r w:rsidRPr="00F96C06">
        <w:rPr>
          <w:rFonts w:ascii="Times New Roman" w:hAnsi="Times New Roman" w:cs="Times New Roman"/>
          <w:sz w:val="24"/>
          <w:szCs w:val="24"/>
        </w:rPr>
        <w:t>1836, 1890-99 (2015).</w:t>
      </w:r>
    </w:p>
  </w:footnote>
  <w:footnote w:id="95">
    <w:p w14:paraId="2C9BBAF7" w14:textId="138A3B02" w:rsidR="006A0B16" w:rsidRPr="00F96C06" w:rsidRDefault="006A0B1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4B325B" w:rsidRPr="00F96C06">
        <w:rPr>
          <w:rFonts w:ascii="Times New Roman" w:hAnsi="Times New Roman" w:cs="Times New Roman"/>
          <w:sz w:val="24"/>
          <w:szCs w:val="24"/>
        </w:rPr>
        <w:t>Part I</w:t>
      </w:r>
      <w:r w:rsidR="00D104CD" w:rsidRPr="00F96C06">
        <w:rPr>
          <w:rFonts w:ascii="Times New Roman" w:hAnsi="Times New Roman" w:cs="Times New Roman"/>
          <w:sz w:val="24"/>
          <w:szCs w:val="24"/>
        </w:rPr>
        <w:t xml:space="preserve"> and Part II A. </w:t>
      </w:r>
      <w:r w:rsidR="004B325B" w:rsidRPr="00F96C06">
        <w:rPr>
          <w:rFonts w:ascii="Times New Roman" w:hAnsi="Times New Roman" w:cs="Times New Roman"/>
          <w:sz w:val="24"/>
          <w:szCs w:val="24"/>
        </w:rPr>
        <w:t xml:space="preserve"> </w:t>
      </w:r>
    </w:p>
  </w:footnote>
  <w:footnote w:id="96">
    <w:p w14:paraId="3BBCADD3" w14:textId="678670DB" w:rsidR="00736329" w:rsidRPr="00F96C06" w:rsidRDefault="0073632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William H. Simon, “The Organization of Prosecutorial Discretion,” in </w:t>
      </w:r>
      <w:r w:rsidRPr="00F96C06">
        <w:rPr>
          <w:rFonts w:ascii="Times New Roman" w:hAnsi="Times New Roman" w:cs="Times New Roman"/>
          <w:smallCaps/>
          <w:sz w:val="24"/>
          <w:szCs w:val="24"/>
        </w:rPr>
        <w:t>Langer &amp; Sklansky,</w:t>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5; William H. Simon, </w:t>
      </w:r>
      <w:r w:rsidRPr="00F96C06">
        <w:rPr>
          <w:rFonts w:ascii="Times New Roman" w:hAnsi="Times New Roman" w:cs="Times New Roman"/>
          <w:i/>
          <w:iCs/>
          <w:sz w:val="24"/>
          <w:szCs w:val="24"/>
        </w:rPr>
        <w:t>The Organizational Premises of Administrative Law,</w:t>
      </w:r>
      <w:r w:rsidRPr="00F96C06">
        <w:rPr>
          <w:rFonts w:ascii="Times New Roman" w:hAnsi="Times New Roman" w:cs="Times New Roman"/>
          <w:sz w:val="24"/>
          <w:szCs w:val="24"/>
        </w:rPr>
        <w:t xml:space="preserve"> 78 </w:t>
      </w:r>
      <w:r w:rsidRPr="00F96C06">
        <w:rPr>
          <w:rFonts w:ascii="Times New Roman" w:hAnsi="Times New Roman" w:cs="Times New Roman"/>
          <w:smallCaps/>
          <w:sz w:val="24"/>
          <w:szCs w:val="24"/>
        </w:rPr>
        <w:t>Law &amp; Contemp. Prob.</w:t>
      </w:r>
      <w:r w:rsidRPr="00F96C06">
        <w:rPr>
          <w:rFonts w:ascii="Times New Roman" w:hAnsi="Times New Roman" w:cs="Times New Roman"/>
          <w:sz w:val="24"/>
          <w:szCs w:val="24"/>
        </w:rPr>
        <w:t xml:space="preserve"> 61 (2015)</w:t>
      </w:r>
      <w:r w:rsidR="008E5877" w:rsidRPr="00F96C06">
        <w:rPr>
          <w:rFonts w:ascii="Times New Roman" w:hAnsi="Times New Roman" w:cs="Times New Roman"/>
          <w:sz w:val="24"/>
          <w:szCs w:val="24"/>
        </w:rPr>
        <w:t xml:space="preserve">; Charles </w:t>
      </w:r>
      <w:r w:rsidR="00BF0A30" w:rsidRPr="00F96C06">
        <w:rPr>
          <w:rFonts w:ascii="Times New Roman" w:hAnsi="Times New Roman" w:cs="Times New Roman"/>
          <w:sz w:val="24"/>
          <w:szCs w:val="24"/>
        </w:rPr>
        <w:t xml:space="preserve">F. </w:t>
      </w:r>
      <w:r w:rsidR="008E5877" w:rsidRPr="00F96C06">
        <w:rPr>
          <w:rFonts w:ascii="Times New Roman" w:hAnsi="Times New Roman" w:cs="Times New Roman"/>
          <w:sz w:val="24"/>
          <w:szCs w:val="24"/>
        </w:rPr>
        <w:t xml:space="preserve">Sabel &amp; </w:t>
      </w:r>
      <w:r w:rsidR="00BF0A30" w:rsidRPr="00F96C06">
        <w:rPr>
          <w:rFonts w:ascii="Times New Roman" w:hAnsi="Times New Roman" w:cs="Times New Roman"/>
          <w:sz w:val="24"/>
          <w:szCs w:val="24"/>
        </w:rPr>
        <w:t xml:space="preserve">William H. Simon, </w:t>
      </w:r>
      <w:r w:rsidR="00BF0A30" w:rsidRPr="00F96C06">
        <w:rPr>
          <w:rFonts w:ascii="Times New Roman" w:hAnsi="Times New Roman" w:cs="Times New Roman"/>
          <w:i/>
          <w:iCs/>
          <w:sz w:val="24"/>
          <w:szCs w:val="24"/>
        </w:rPr>
        <w:t>The Duty of Responsible Administration and the Problem of Police Accountability,</w:t>
      </w:r>
      <w:r w:rsidR="00BF0A30" w:rsidRPr="00F96C06">
        <w:rPr>
          <w:rFonts w:ascii="Times New Roman" w:hAnsi="Times New Roman" w:cs="Times New Roman"/>
          <w:sz w:val="24"/>
          <w:szCs w:val="24"/>
        </w:rPr>
        <w:t xml:space="preserve"> 33 </w:t>
      </w:r>
      <w:r w:rsidR="00BF0A30" w:rsidRPr="00F96C06">
        <w:rPr>
          <w:rFonts w:ascii="Times New Roman" w:hAnsi="Times New Roman" w:cs="Times New Roman"/>
          <w:smallCaps/>
          <w:sz w:val="24"/>
          <w:szCs w:val="24"/>
        </w:rPr>
        <w:t>Yale J. on Reg.</w:t>
      </w:r>
      <w:r w:rsidR="00BF0A30" w:rsidRPr="00F96C06">
        <w:rPr>
          <w:rFonts w:ascii="Times New Roman" w:hAnsi="Times New Roman" w:cs="Times New Roman"/>
          <w:sz w:val="24"/>
          <w:szCs w:val="24"/>
        </w:rPr>
        <w:t xml:space="preserve"> 165 (2016). </w:t>
      </w:r>
      <w:r w:rsidRPr="00F96C06">
        <w:rPr>
          <w:rFonts w:ascii="Times New Roman" w:hAnsi="Times New Roman" w:cs="Times New Roman"/>
          <w:sz w:val="24"/>
          <w:szCs w:val="24"/>
        </w:rPr>
        <w:t>.</w:t>
      </w:r>
    </w:p>
  </w:footnote>
  <w:footnote w:id="97">
    <w:p w14:paraId="12506794" w14:textId="227E4531" w:rsidR="003B577A" w:rsidRPr="00F96C06" w:rsidRDefault="003B577A" w:rsidP="003B577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Paul R. Verkuil, </w:t>
      </w:r>
      <w:r w:rsidRPr="00F96C06">
        <w:rPr>
          <w:rFonts w:ascii="Times New Roman" w:hAnsi="Times New Roman" w:cs="Times New Roman"/>
          <w:i/>
          <w:iCs/>
          <w:sz w:val="24"/>
          <w:szCs w:val="24"/>
        </w:rPr>
        <w:t>The Purposes and Limits of Independent Agencies,</w:t>
      </w:r>
      <w:r w:rsidRPr="00F96C06">
        <w:rPr>
          <w:rFonts w:ascii="Times New Roman" w:hAnsi="Times New Roman" w:cs="Times New Roman"/>
          <w:sz w:val="24"/>
          <w:szCs w:val="24"/>
        </w:rPr>
        <w:t xml:space="preserve"> 1988 </w:t>
      </w:r>
      <w:r w:rsidRPr="00F96C06">
        <w:rPr>
          <w:rFonts w:ascii="Times New Roman" w:hAnsi="Times New Roman" w:cs="Times New Roman"/>
          <w:smallCaps/>
          <w:sz w:val="24"/>
          <w:szCs w:val="24"/>
        </w:rPr>
        <w:t>Duke L.J.</w:t>
      </w:r>
      <w:r w:rsidRPr="00F96C06">
        <w:rPr>
          <w:rFonts w:ascii="Times New Roman" w:hAnsi="Times New Roman" w:cs="Times New Roman"/>
          <w:sz w:val="24"/>
          <w:szCs w:val="24"/>
        </w:rPr>
        <w:t xml:space="preserve"> 257, 259-63 (1988)</w:t>
      </w:r>
      <w:r w:rsidR="0056444C" w:rsidRPr="00F96C06">
        <w:rPr>
          <w:rFonts w:ascii="Times New Roman" w:hAnsi="Times New Roman" w:cs="Times New Roman"/>
          <w:sz w:val="24"/>
          <w:szCs w:val="24"/>
        </w:rPr>
        <w:t xml:space="preserve">; FTC </w:t>
      </w:r>
      <w:r w:rsidR="006C7E0F" w:rsidRPr="00F96C06">
        <w:rPr>
          <w:rFonts w:ascii="Times New Roman" w:hAnsi="Times New Roman" w:cs="Times New Roman"/>
          <w:sz w:val="24"/>
          <w:szCs w:val="24"/>
        </w:rPr>
        <w:t>3.</w:t>
      </w:r>
      <w:r w:rsidR="00717AEC" w:rsidRPr="00F96C06">
        <w:rPr>
          <w:rFonts w:ascii="Times New Roman" w:hAnsi="Times New Roman" w:cs="Times New Roman"/>
          <w:sz w:val="24"/>
          <w:szCs w:val="24"/>
        </w:rPr>
        <w:t xml:space="preserve">  Some scholarship deprecates the value of deliberation in multi-member agencies, especially in the present hyper-polarized </w:t>
      </w:r>
      <w:r w:rsidR="00103D29" w:rsidRPr="00F96C06">
        <w:rPr>
          <w:rFonts w:ascii="Times New Roman" w:hAnsi="Times New Roman" w:cs="Times New Roman"/>
          <w:sz w:val="24"/>
          <w:szCs w:val="24"/>
        </w:rPr>
        <w:t xml:space="preserve">political </w:t>
      </w:r>
      <w:r w:rsidR="00717AEC" w:rsidRPr="00F96C06">
        <w:rPr>
          <w:rFonts w:ascii="Times New Roman" w:hAnsi="Times New Roman" w:cs="Times New Roman"/>
          <w:sz w:val="24"/>
          <w:szCs w:val="24"/>
        </w:rPr>
        <w:t xml:space="preserve">environment. Ganesh Sitaraman &amp; Ariel Dobkin, </w:t>
      </w:r>
      <w:r w:rsidR="00717AEC" w:rsidRPr="00F96C06">
        <w:rPr>
          <w:rFonts w:ascii="Times New Roman" w:hAnsi="Times New Roman" w:cs="Times New Roman"/>
          <w:i/>
          <w:iCs/>
          <w:sz w:val="24"/>
          <w:szCs w:val="24"/>
        </w:rPr>
        <w:t>The Choice Between Single Director Agencies and Multimember Commissions</w:t>
      </w:r>
      <w:r w:rsidR="00717AEC" w:rsidRPr="00F96C06">
        <w:rPr>
          <w:rFonts w:ascii="Times New Roman" w:hAnsi="Times New Roman" w:cs="Times New Roman"/>
          <w:sz w:val="24"/>
          <w:szCs w:val="24"/>
        </w:rPr>
        <w:t xml:space="preserve">, 71 </w:t>
      </w:r>
      <w:r w:rsidR="00717AEC" w:rsidRPr="00F96C06">
        <w:rPr>
          <w:rFonts w:ascii="Times New Roman" w:hAnsi="Times New Roman" w:cs="Times New Roman"/>
          <w:smallCaps/>
          <w:sz w:val="24"/>
          <w:szCs w:val="24"/>
        </w:rPr>
        <w:t>Admin. L. Rev.</w:t>
      </w:r>
      <w:r w:rsidR="00717AEC" w:rsidRPr="00F96C06">
        <w:rPr>
          <w:rFonts w:ascii="Times New Roman" w:hAnsi="Times New Roman" w:cs="Times New Roman"/>
          <w:sz w:val="24"/>
          <w:szCs w:val="24"/>
        </w:rPr>
        <w:t xml:space="preserve"> 719, 738-55 (2019). </w:t>
      </w:r>
    </w:p>
  </w:footnote>
  <w:footnote w:id="98">
    <w:p w14:paraId="677674B3" w14:textId="77777777" w:rsidR="001357C0" w:rsidRPr="00F96C06" w:rsidRDefault="001357C0" w:rsidP="001357C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Jon D. Michaels, </w:t>
      </w:r>
      <w:r w:rsidRPr="00F96C06">
        <w:rPr>
          <w:rFonts w:ascii="Times New Roman" w:hAnsi="Times New Roman" w:cs="Times New Roman"/>
          <w:i/>
          <w:iCs/>
          <w:sz w:val="24"/>
          <w:szCs w:val="24"/>
        </w:rPr>
        <w:t xml:space="preserve">Of Constitutional Custodians and Regulatory Rivals: An Account of the Old and New Separation of Powers, </w:t>
      </w:r>
      <w:r w:rsidRPr="00F96C06">
        <w:rPr>
          <w:rFonts w:ascii="Times New Roman" w:hAnsi="Times New Roman" w:cs="Times New Roman"/>
          <w:sz w:val="24"/>
          <w:szCs w:val="24"/>
        </w:rPr>
        <w:t xml:space="preserve">91 </w:t>
      </w:r>
      <w:r w:rsidRPr="00F96C06">
        <w:rPr>
          <w:rFonts w:ascii="Times New Roman" w:hAnsi="Times New Roman" w:cs="Times New Roman"/>
          <w:smallCaps/>
          <w:sz w:val="24"/>
          <w:szCs w:val="24"/>
        </w:rPr>
        <w:t>N.Y.U. L. Rev.</w:t>
      </w:r>
      <w:r w:rsidRPr="00F96C06">
        <w:rPr>
          <w:rFonts w:ascii="Times New Roman" w:hAnsi="Times New Roman" w:cs="Times New Roman"/>
          <w:sz w:val="24"/>
          <w:szCs w:val="24"/>
        </w:rPr>
        <w:t xml:space="preserve"> 227 (2016). </w:t>
      </w:r>
    </w:p>
  </w:footnote>
  <w:footnote w:id="99">
    <w:p w14:paraId="49C9BFCC" w14:textId="39040A2B" w:rsidR="002D5BE7" w:rsidRPr="00F96C06" w:rsidRDefault="002D5BE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4B325B" w:rsidRPr="00F96C06">
        <w:rPr>
          <w:rFonts w:ascii="Times New Roman" w:hAnsi="Times New Roman" w:cs="Times New Roman"/>
          <w:sz w:val="24"/>
          <w:szCs w:val="24"/>
        </w:rPr>
        <w:t xml:space="preserve">discussion of the sentinel effect in Part III. B. 3. </w:t>
      </w:r>
    </w:p>
  </w:footnote>
  <w:footnote w:id="100">
    <w:p w14:paraId="7019C086" w14:textId="7DFCDDB5" w:rsidR="00B57762" w:rsidRPr="00F96C06" w:rsidRDefault="00B5776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456926" w:rsidRPr="00F96C06">
        <w:rPr>
          <w:rFonts w:ascii="Times New Roman" w:hAnsi="Times New Roman" w:cs="Times New Roman"/>
          <w:sz w:val="24"/>
          <w:szCs w:val="24"/>
        </w:rPr>
        <w:t xml:space="preserve">Part III. B. </w:t>
      </w:r>
      <w:r w:rsidR="00566E4D" w:rsidRPr="00F96C06">
        <w:rPr>
          <w:rFonts w:ascii="Times New Roman" w:hAnsi="Times New Roman" w:cs="Times New Roman"/>
          <w:sz w:val="24"/>
          <w:szCs w:val="24"/>
        </w:rPr>
        <w:t>1.</w:t>
      </w:r>
      <w:r w:rsidR="00456926" w:rsidRPr="00F96C06">
        <w:rPr>
          <w:rFonts w:ascii="Times New Roman" w:hAnsi="Times New Roman" w:cs="Times New Roman"/>
          <w:sz w:val="24"/>
          <w:szCs w:val="24"/>
        </w:rPr>
        <w:t xml:space="preserve"> </w:t>
      </w:r>
    </w:p>
  </w:footnote>
  <w:footnote w:id="101">
    <w:p w14:paraId="6D1AAC99" w14:textId="52D5CD82" w:rsidR="001357C0" w:rsidRPr="00F96C06" w:rsidRDefault="001357C0" w:rsidP="001357C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5, 6</w:t>
      </w:r>
      <w:r w:rsidR="0007268D" w:rsidRPr="00F96C06">
        <w:rPr>
          <w:rFonts w:ascii="Times New Roman" w:hAnsi="Times New Roman" w:cs="Times New Roman"/>
          <w:sz w:val="24"/>
          <w:szCs w:val="24"/>
        </w:rPr>
        <w:t>, 7</w:t>
      </w:r>
      <w:r w:rsidR="008C4B94" w:rsidRPr="00F96C06">
        <w:rPr>
          <w:rFonts w:ascii="Times New Roman" w:hAnsi="Times New Roman" w:cs="Times New Roman"/>
          <w:sz w:val="24"/>
          <w:szCs w:val="24"/>
        </w:rPr>
        <w:t>;</w:t>
      </w:r>
      <w:r w:rsidR="0007268D" w:rsidRPr="00F96C06">
        <w:rPr>
          <w:rFonts w:ascii="Times New Roman" w:hAnsi="Times New Roman" w:cs="Times New Roman"/>
          <w:sz w:val="24"/>
          <w:szCs w:val="24"/>
        </w:rPr>
        <w:t xml:space="preserve"> </w:t>
      </w:r>
      <w:r w:rsidR="00F55F4F" w:rsidRPr="00F96C06">
        <w:rPr>
          <w:rFonts w:ascii="Times New Roman" w:hAnsi="Times New Roman" w:cs="Times New Roman"/>
          <w:sz w:val="24"/>
          <w:szCs w:val="24"/>
        </w:rPr>
        <w:t xml:space="preserve">FERC 3. </w:t>
      </w:r>
    </w:p>
  </w:footnote>
  <w:footnote w:id="102">
    <w:p w14:paraId="335C504F" w14:textId="5E33E9CC" w:rsidR="001357C0" w:rsidRPr="00F96C06" w:rsidRDefault="001357C0" w:rsidP="001357C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DD1397" w:rsidRPr="00F96C06">
        <w:rPr>
          <w:rFonts w:ascii="Times New Roman" w:hAnsi="Times New Roman" w:cs="Times New Roman"/>
          <w:sz w:val="24"/>
          <w:szCs w:val="24"/>
        </w:rPr>
        <w:t xml:space="preserve">See </w:t>
      </w:r>
      <w:r w:rsidRPr="00F96C06">
        <w:rPr>
          <w:rFonts w:ascii="Times New Roman" w:hAnsi="Times New Roman" w:cs="Times New Roman"/>
          <w:sz w:val="24"/>
          <w:szCs w:val="24"/>
        </w:rPr>
        <w:t>Sohoni</w:t>
      </w:r>
      <w:r w:rsidR="00DD1397" w:rsidRPr="00F96C06">
        <w:rPr>
          <w:rFonts w:ascii="Times New Roman" w:hAnsi="Times New Roman" w:cs="Times New Roman"/>
          <w:sz w:val="24"/>
          <w:szCs w:val="24"/>
        </w:rPr>
        <w:t xml:space="preserve">, </w:t>
      </w:r>
      <w:r w:rsidR="00103D29" w:rsidRPr="00F96C06">
        <w:rPr>
          <w:rFonts w:ascii="Times New Roman" w:hAnsi="Times New Roman" w:cs="Times New Roman"/>
          <w:i/>
          <w:iCs/>
          <w:sz w:val="24"/>
          <w:szCs w:val="24"/>
        </w:rPr>
        <w:t xml:space="preserve">supra </w:t>
      </w:r>
      <w:r w:rsidR="00DD1397" w:rsidRPr="00F96C06">
        <w:rPr>
          <w:rFonts w:ascii="Times New Roman" w:hAnsi="Times New Roman" w:cs="Times New Roman"/>
          <w:sz w:val="24"/>
          <w:szCs w:val="24"/>
        </w:rPr>
        <w:t>note</w:t>
      </w:r>
      <w:r w:rsidR="00456926" w:rsidRPr="00F96C06">
        <w:rPr>
          <w:rFonts w:ascii="Times New Roman" w:hAnsi="Times New Roman" w:cs="Times New Roman"/>
          <w:sz w:val="24"/>
          <w:szCs w:val="24"/>
        </w:rPr>
        <w:t xml:space="preserve"> </w:t>
      </w:r>
      <w:r w:rsidR="00103D29" w:rsidRPr="00F96C06">
        <w:rPr>
          <w:rFonts w:ascii="Times New Roman" w:hAnsi="Times New Roman" w:cs="Times New Roman"/>
          <w:sz w:val="24"/>
          <w:szCs w:val="24"/>
        </w:rPr>
        <w:t>8</w:t>
      </w:r>
      <w:r w:rsidR="00DD1397" w:rsidRPr="00F96C06">
        <w:rPr>
          <w:rFonts w:ascii="Times New Roman" w:hAnsi="Times New Roman" w:cs="Times New Roman"/>
          <w:sz w:val="24"/>
          <w:szCs w:val="24"/>
        </w:rPr>
        <w:t xml:space="preserve"> at </w:t>
      </w:r>
      <w:r w:rsidRPr="00F96C06">
        <w:rPr>
          <w:rFonts w:ascii="Times New Roman" w:hAnsi="Times New Roman" w:cs="Times New Roman"/>
          <w:sz w:val="24"/>
          <w:szCs w:val="24"/>
        </w:rPr>
        <w:t>55-63</w:t>
      </w:r>
      <w:r w:rsidR="00DD1397" w:rsidRPr="00F96C06">
        <w:rPr>
          <w:rFonts w:ascii="Times New Roman" w:hAnsi="Times New Roman" w:cs="Times New Roman"/>
          <w:sz w:val="24"/>
          <w:szCs w:val="24"/>
        </w:rPr>
        <w:t>.</w:t>
      </w:r>
    </w:p>
  </w:footnote>
  <w:footnote w:id="103">
    <w:p w14:paraId="47F23DBC" w14:textId="2583DFFA" w:rsidR="001357C0" w:rsidRPr="00F96C06" w:rsidRDefault="001357C0" w:rsidP="001357C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Lemos, </w:t>
      </w:r>
      <w:r w:rsidR="00103D29"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103D29" w:rsidRPr="00F96C06">
        <w:rPr>
          <w:rFonts w:ascii="Times New Roman" w:hAnsi="Times New Roman" w:cs="Times New Roman"/>
          <w:sz w:val="24"/>
          <w:szCs w:val="24"/>
        </w:rPr>
        <w:t>8</w:t>
      </w:r>
      <w:r w:rsidRPr="00F96C06">
        <w:rPr>
          <w:rFonts w:ascii="Times New Roman" w:hAnsi="Times New Roman" w:cs="Times New Roman"/>
          <w:sz w:val="24"/>
          <w:szCs w:val="24"/>
        </w:rPr>
        <w:t xml:space="preserve"> at 952-56; Sohoni, </w:t>
      </w:r>
      <w:r w:rsidR="00103D29"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103D29" w:rsidRPr="00F96C06">
        <w:rPr>
          <w:rFonts w:ascii="Times New Roman" w:hAnsi="Times New Roman" w:cs="Times New Roman"/>
          <w:sz w:val="24"/>
          <w:szCs w:val="24"/>
        </w:rPr>
        <w:t>8</w:t>
      </w:r>
      <w:r w:rsidR="00456926" w:rsidRPr="00F96C06">
        <w:rPr>
          <w:rFonts w:ascii="Times New Roman" w:hAnsi="Times New Roman" w:cs="Times New Roman"/>
          <w:sz w:val="24"/>
          <w:szCs w:val="24"/>
        </w:rPr>
        <w:t xml:space="preserve"> at 67-69</w:t>
      </w:r>
      <w:r w:rsidR="004B325B" w:rsidRPr="00F96C06">
        <w:rPr>
          <w:rFonts w:ascii="Times New Roman" w:hAnsi="Times New Roman" w:cs="Times New Roman"/>
          <w:sz w:val="24"/>
          <w:szCs w:val="24"/>
        </w:rPr>
        <w:t xml:space="preserve">. </w:t>
      </w:r>
    </w:p>
  </w:footnote>
  <w:footnote w:id="104">
    <w:p w14:paraId="71D224BA" w14:textId="595F7EC6" w:rsidR="006C763B" w:rsidRPr="00F96C06" w:rsidRDefault="006C763B" w:rsidP="006C763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6</w:t>
      </w:r>
      <w:r w:rsidR="008C4B94" w:rsidRPr="00F96C06">
        <w:rPr>
          <w:rFonts w:ascii="Times New Roman" w:hAnsi="Times New Roman" w:cs="Times New Roman"/>
          <w:sz w:val="24"/>
          <w:szCs w:val="24"/>
        </w:rPr>
        <w:t>;</w:t>
      </w:r>
      <w:r w:rsidRPr="00F96C06">
        <w:rPr>
          <w:rFonts w:ascii="Times New Roman" w:hAnsi="Times New Roman" w:cs="Times New Roman"/>
          <w:sz w:val="24"/>
          <w:szCs w:val="24"/>
        </w:rPr>
        <w:t xml:space="preserve"> FTC 5.</w:t>
      </w:r>
    </w:p>
  </w:footnote>
  <w:footnote w:id="105">
    <w:p w14:paraId="281763B9" w14:textId="2A4E2C28" w:rsidR="00FC72C2" w:rsidRPr="00F96C06" w:rsidRDefault="00FC72C2">
      <w:pPr>
        <w:pStyle w:val="FootnoteText"/>
        <w:rPr>
          <w:rFonts w:ascii="Times New Roman" w:hAnsi="Times New Roman" w:cs="Times New Roman"/>
          <w:i/>
          <w:iCs/>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3; </w:t>
      </w:r>
      <w:r w:rsidR="00456926" w:rsidRPr="00F96C06">
        <w:rPr>
          <w:rFonts w:ascii="Times New Roman" w:hAnsi="Times New Roman" w:cs="Times New Roman"/>
          <w:sz w:val="24"/>
          <w:szCs w:val="24"/>
        </w:rPr>
        <w:t xml:space="preserve">Parts II. E, and </w:t>
      </w:r>
      <w:r w:rsidR="008C4B94" w:rsidRPr="00F96C06">
        <w:rPr>
          <w:rFonts w:ascii="Times New Roman" w:hAnsi="Times New Roman" w:cs="Times New Roman"/>
          <w:sz w:val="24"/>
          <w:szCs w:val="24"/>
        </w:rPr>
        <w:t xml:space="preserve">V. F. </w:t>
      </w:r>
      <w:r w:rsidR="00482706" w:rsidRPr="00F96C06">
        <w:rPr>
          <w:rFonts w:ascii="Times New Roman" w:hAnsi="Times New Roman" w:cs="Times New Roman"/>
          <w:i/>
          <w:iCs/>
          <w:sz w:val="24"/>
          <w:szCs w:val="24"/>
        </w:rPr>
        <w:t xml:space="preserve">See </w:t>
      </w:r>
      <w:r w:rsidR="00482706" w:rsidRPr="00F96C06">
        <w:rPr>
          <w:rFonts w:ascii="Times New Roman" w:hAnsi="Times New Roman" w:cs="Times New Roman"/>
          <w:sz w:val="24"/>
          <w:szCs w:val="24"/>
        </w:rPr>
        <w:t xml:space="preserve">Michael Ellement, </w:t>
      </w:r>
      <w:r w:rsidR="00482706" w:rsidRPr="00F96C06">
        <w:rPr>
          <w:rFonts w:ascii="Times New Roman" w:hAnsi="Times New Roman" w:cs="Times New Roman"/>
          <w:i/>
          <w:iCs/>
          <w:sz w:val="24"/>
          <w:szCs w:val="24"/>
        </w:rPr>
        <w:t xml:space="preserve">Labor Law in 3(d): Reexamining the General Counsel of the NLRB as an Independent Prosecutor of Labor Violations, 29 </w:t>
      </w:r>
      <w:r w:rsidR="00482706" w:rsidRPr="00F96C06">
        <w:rPr>
          <w:rFonts w:ascii="Times New Roman" w:hAnsi="Times New Roman" w:cs="Times New Roman"/>
          <w:smallCaps/>
          <w:sz w:val="24"/>
          <w:szCs w:val="24"/>
        </w:rPr>
        <w:t>A.B.A. J</w:t>
      </w:r>
      <w:r w:rsidR="003E01D0" w:rsidRPr="00F96C06">
        <w:rPr>
          <w:rFonts w:ascii="Times New Roman" w:hAnsi="Times New Roman" w:cs="Times New Roman"/>
          <w:smallCaps/>
          <w:sz w:val="24"/>
          <w:szCs w:val="24"/>
        </w:rPr>
        <w:t xml:space="preserve"> </w:t>
      </w:r>
      <w:r w:rsidR="00482706" w:rsidRPr="00F96C06">
        <w:rPr>
          <w:rFonts w:ascii="Times New Roman" w:hAnsi="Times New Roman" w:cs="Times New Roman"/>
          <w:smallCaps/>
          <w:sz w:val="24"/>
          <w:szCs w:val="24"/>
        </w:rPr>
        <w:t xml:space="preserve"> of Labor and Empl. L. </w:t>
      </w:r>
      <w:r w:rsidR="00482706" w:rsidRPr="00F96C06">
        <w:rPr>
          <w:rFonts w:ascii="Times New Roman" w:hAnsi="Times New Roman" w:cs="Times New Roman"/>
          <w:sz w:val="24"/>
          <w:szCs w:val="24"/>
        </w:rPr>
        <w:t>477 (2014).</w:t>
      </w:r>
      <w:r w:rsidR="00482706" w:rsidRPr="00F96C06">
        <w:rPr>
          <w:rFonts w:ascii="Times New Roman" w:hAnsi="Times New Roman" w:cs="Times New Roman"/>
          <w:i/>
          <w:iCs/>
          <w:sz w:val="24"/>
          <w:szCs w:val="24"/>
        </w:rPr>
        <w:t xml:space="preserve"> </w:t>
      </w:r>
    </w:p>
  </w:footnote>
  <w:footnote w:id="106">
    <w:p w14:paraId="55832948" w14:textId="5A457019" w:rsidR="009614F1" w:rsidRPr="00F96C06" w:rsidRDefault="009614F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https://www.msn.com/en-us/money/other/ftc-staff-reportedly-recommended-against-suing-meta/ar-AA106AfG</w:t>
      </w:r>
    </w:p>
  </w:footnote>
  <w:footnote w:id="107">
    <w:p w14:paraId="59EF41BC" w14:textId="6AF56B63" w:rsidR="007B2137" w:rsidRPr="00F96C06" w:rsidRDefault="007B2137" w:rsidP="007B213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All 8 of the SEC interviewees answered affirmatively, as did FERC 5, FCC 2, 4</w:t>
      </w:r>
      <w:r w:rsidR="00DD1397" w:rsidRPr="00F96C06">
        <w:rPr>
          <w:rFonts w:ascii="Times New Roman" w:hAnsi="Times New Roman" w:cs="Times New Roman"/>
          <w:sz w:val="24"/>
          <w:szCs w:val="24"/>
        </w:rPr>
        <w:t>, and</w:t>
      </w:r>
      <w:r w:rsidRPr="00F96C06">
        <w:rPr>
          <w:rFonts w:ascii="Times New Roman" w:hAnsi="Times New Roman" w:cs="Times New Roman"/>
          <w:sz w:val="24"/>
          <w:szCs w:val="24"/>
        </w:rPr>
        <w:t xml:space="preserve"> FTC 5.</w:t>
      </w:r>
      <w:r w:rsidR="00AF13CD" w:rsidRPr="00F96C06">
        <w:rPr>
          <w:rFonts w:ascii="Times New Roman" w:hAnsi="Times New Roman" w:cs="Times New Roman"/>
          <w:sz w:val="24"/>
          <w:szCs w:val="24"/>
        </w:rPr>
        <w:t xml:space="preserve"> See Bardach &amp; Kagan, </w:t>
      </w:r>
      <w:r w:rsidR="00C546FA" w:rsidRPr="00F96C06">
        <w:rPr>
          <w:rFonts w:ascii="Times New Roman" w:hAnsi="Times New Roman" w:cs="Times New Roman"/>
          <w:i/>
          <w:iCs/>
          <w:sz w:val="24"/>
          <w:szCs w:val="24"/>
        </w:rPr>
        <w:t xml:space="preserve">supra </w:t>
      </w:r>
      <w:r w:rsidR="00AF13CD" w:rsidRPr="00F96C06">
        <w:rPr>
          <w:rFonts w:ascii="Times New Roman" w:hAnsi="Times New Roman" w:cs="Times New Roman"/>
          <w:sz w:val="24"/>
          <w:szCs w:val="24"/>
        </w:rPr>
        <w:t xml:space="preserve">note </w:t>
      </w:r>
      <w:r w:rsidR="00C546FA" w:rsidRPr="00F96C06">
        <w:rPr>
          <w:rFonts w:ascii="Times New Roman" w:hAnsi="Times New Roman" w:cs="Times New Roman"/>
          <w:sz w:val="24"/>
          <w:szCs w:val="24"/>
        </w:rPr>
        <w:t>8</w:t>
      </w:r>
      <w:r w:rsidR="00AF13CD" w:rsidRPr="00F96C06">
        <w:rPr>
          <w:rFonts w:ascii="Times New Roman" w:hAnsi="Times New Roman" w:cs="Times New Roman"/>
          <w:sz w:val="24"/>
          <w:szCs w:val="24"/>
        </w:rPr>
        <w:t xml:space="preserve"> at 34. </w:t>
      </w:r>
    </w:p>
  </w:footnote>
  <w:footnote w:id="108">
    <w:p w14:paraId="68AA9147" w14:textId="64B6EAA7" w:rsidR="001357C0" w:rsidRPr="00F96C06" w:rsidRDefault="001357C0" w:rsidP="003C2EF1">
      <w:r w:rsidRPr="00F96C06">
        <w:rPr>
          <w:rStyle w:val="FootnoteReference"/>
        </w:rPr>
        <w:footnoteRef/>
      </w:r>
      <w:r w:rsidRPr="00F96C06">
        <w:t xml:space="preserve"> Barkow</w:t>
      </w:r>
      <w:r w:rsidR="00B24E27" w:rsidRPr="00F96C06">
        <w:t xml:space="preserve">, </w:t>
      </w:r>
      <w:r w:rsidR="00C546FA" w:rsidRPr="00F96C06">
        <w:rPr>
          <w:i/>
          <w:iCs/>
        </w:rPr>
        <w:t xml:space="preserve">supra </w:t>
      </w:r>
      <w:r w:rsidR="00B24E27" w:rsidRPr="00F96C06">
        <w:t xml:space="preserve">note </w:t>
      </w:r>
      <w:r w:rsidR="00C546FA" w:rsidRPr="00F96C06">
        <w:t>8</w:t>
      </w:r>
      <w:r w:rsidR="00B24E27" w:rsidRPr="00F96C06">
        <w:t xml:space="preserve"> at </w:t>
      </w:r>
      <w:r w:rsidRPr="00F96C06">
        <w:t>1139</w:t>
      </w:r>
      <w:r w:rsidR="00456926" w:rsidRPr="00F96C06">
        <w:t xml:space="preserve">; Christopher J. </w:t>
      </w:r>
      <w:r w:rsidRPr="00F96C06">
        <w:t>Walker</w:t>
      </w:r>
      <w:r w:rsidR="00B24E27" w:rsidRPr="00F96C06">
        <w:t xml:space="preserve">, </w:t>
      </w:r>
      <w:r w:rsidR="00456926" w:rsidRPr="00F96C06">
        <w:rPr>
          <w:i/>
          <w:iCs/>
        </w:rPr>
        <w:t>Administrative Law Without Courts</w:t>
      </w:r>
      <w:r w:rsidR="00456926" w:rsidRPr="00F96C06">
        <w:t xml:space="preserve">, </w:t>
      </w:r>
      <w:r w:rsidRPr="00F96C06">
        <w:t xml:space="preserve">65 </w:t>
      </w:r>
      <w:r w:rsidRPr="00F96C06">
        <w:rPr>
          <w:smallCaps/>
        </w:rPr>
        <w:t xml:space="preserve">UCLA </w:t>
      </w:r>
      <w:r w:rsidR="00456926" w:rsidRPr="00F96C06">
        <w:rPr>
          <w:smallCaps/>
        </w:rPr>
        <w:t>L. Rev.</w:t>
      </w:r>
      <w:r w:rsidR="00456926" w:rsidRPr="00F96C06">
        <w:t xml:space="preserve"> </w:t>
      </w:r>
      <w:r w:rsidRPr="00F96C06">
        <w:t>16</w:t>
      </w:r>
      <w:r w:rsidR="00456926" w:rsidRPr="00F96C06">
        <w:t>2</w:t>
      </w:r>
      <w:r w:rsidRPr="00F96C06">
        <w:t>0, 1628</w:t>
      </w:r>
      <w:r w:rsidR="00456926" w:rsidRPr="00F96C06">
        <w:t xml:space="preserve"> (2018)</w:t>
      </w:r>
      <w:r w:rsidR="00B24E27" w:rsidRPr="00F96C06">
        <w:t>.</w:t>
      </w:r>
      <w:r w:rsidR="00FD2E76" w:rsidRPr="00F96C06">
        <w:t xml:space="preserve"> </w:t>
      </w:r>
      <w:r w:rsidR="0012321C" w:rsidRPr="00F96C06">
        <w:t xml:space="preserve">Indeed, excessive checks and balances may lead to under-enforcement since front-line investigators and prosecutors are sometimes discouraged by the many hoops they must jump through.  Bardach &amp; Kagan, </w:t>
      </w:r>
      <w:r w:rsidR="0012321C" w:rsidRPr="00F96C06">
        <w:rPr>
          <w:i/>
          <w:iCs/>
        </w:rPr>
        <w:t>supra</w:t>
      </w:r>
      <w:r w:rsidR="0012321C" w:rsidRPr="00F96C06">
        <w:t xml:space="preserve"> note </w:t>
      </w:r>
      <w:r w:rsidR="00C546FA" w:rsidRPr="00F96C06">
        <w:t>8</w:t>
      </w:r>
      <w:r w:rsidR="0012321C" w:rsidRPr="00F96C06">
        <w:t xml:space="preserve"> at 39-44.  </w:t>
      </w:r>
    </w:p>
  </w:footnote>
  <w:footnote w:id="109">
    <w:p w14:paraId="459BD03F" w14:textId="7F6BAAB6" w:rsidR="00B93C44" w:rsidRPr="00F96C06" w:rsidRDefault="00B93C4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8</w:t>
      </w:r>
    </w:p>
  </w:footnote>
  <w:footnote w:id="110">
    <w:p w14:paraId="180AB790" w14:textId="00D37A22" w:rsidR="009147C5" w:rsidRPr="00F96C06" w:rsidRDefault="009147C5" w:rsidP="00CC6918">
      <w:r w:rsidRPr="00F96C06">
        <w:rPr>
          <w:rStyle w:val="FootnoteReference"/>
        </w:rPr>
        <w:footnoteRef/>
      </w:r>
      <w:r w:rsidRPr="00F96C06">
        <w:t xml:space="preserve"> See</w:t>
      </w:r>
      <w:r w:rsidR="00726F75">
        <w:t>,</w:t>
      </w:r>
      <w:r w:rsidRPr="00F96C06">
        <w:t xml:space="preserve"> </w:t>
      </w:r>
      <w:r w:rsidRPr="00726F75">
        <w:rPr>
          <w:i/>
          <w:iCs/>
        </w:rPr>
        <w:t>e.g.</w:t>
      </w:r>
      <w:r w:rsidR="00726F75">
        <w:t>,</w:t>
      </w:r>
      <w:r w:rsidRPr="00F96C06">
        <w:t xml:space="preserve"> </w:t>
      </w:r>
      <w:r w:rsidR="0015553E" w:rsidRPr="00F96C06">
        <w:t xml:space="preserve">Andrew N. Vollmer, </w:t>
      </w:r>
      <w:r w:rsidR="0015553E" w:rsidRPr="00F96C06">
        <w:rPr>
          <w:i/>
          <w:iCs/>
        </w:rPr>
        <w:t>Accusers as Adjudicators in Agency Enforcement Proceedings</w:t>
      </w:r>
      <w:r w:rsidR="0015553E" w:rsidRPr="00F96C06">
        <w:t xml:space="preserve">, 52 </w:t>
      </w:r>
      <w:r w:rsidR="0015553E" w:rsidRPr="00F96C06">
        <w:rPr>
          <w:smallCaps/>
        </w:rPr>
        <w:t>U</w:t>
      </w:r>
      <w:r w:rsidR="000C4FCF" w:rsidRPr="00F96C06">
        <w:rPr>
          <w:smallCaps/>
        </w:rPr>
        <w:t xml:space="preserve">. </w:t>
      </w:r>
      <w:r w:rsidR="0015553E" w:rsidRPr="00F96C06">
        <w:rPr>
          <w:smallCaps/>
        </w:rPr>
        <w:t>Mich. J. L</w:t>
      </w:r>
      <w:r w:rsidR="000C4FCF" w:rsidRPr="00F96C06">
        <w:rPr>
          <w:smallCaps/>
        </w:rPr>
        <w:t>.</w:t>
      </w:r>
      <w:r w:rsidR="0015553E" w:rsidRPr="00F96C06">
        <w:rPr>
          <w:smallCaps/>
        </w:rPr>
        <w:t xml:space="preserve"> Ref</w:t>
      </w:r>
      <w:r w:rsidR="000C4FCF" w:rsidRPr="00F96C06">
        <w:rPr>
          <w:smallCaps/>
        </w:rPr>
        <w:t>.</w:t>
      </w:r>
      <w:r w:rsidR="0015553E" w:rsidRPr="00F96C06">
        <w:rPr>
          <w:smallCaps/>
        </w:rPr>
        <w:t xml:space="preserve"> </w:t>
      </w:r>
      <w:r w:rsidR="0015553E" w:rsidRPr="00F96C06">
        <w:t xml:space="preserve">103 (2018); </w:t>
      </w:r>
      <w:r w:rsidR="00CC6918" w:rsidRPr="00F96C06">
        <w:t xml:space="preserve">Edward H. Fleischmann, </w:t>
      </w:r>
      <w:r w:rsidR="009132AA" w:rsidRPr="00F96C06">
        <w:rPr>
          <w:i/>
          <w:iCs/>
        </w:rPr>
        <w:t>Toward Neutral Principles: The SEC’s Discharge of its Tri-Functional Administrative Responsibilities,</w:t>
      </w:r>
      <w:r w:rsidR="009132AA" w:rsidRPr="00F96C06">
        <w:t xml:space="preserve"> 42 </w:t>
      </w:r>
      <w:r w:rsidR="009132AA" w:rsidRPr="00F96C06">
        <w:rPr>
          <w:smallCaps/>
        </w:rPr>
        <w:t>Cath. U. L. Rev. 2</w:t>
      </w:r>
      <w:r w:rsidR="009132AA" w:rsidRPr="00F96C06">
        <w:t xml:space="preserve">51 (1993); </w:t>
      </w:r>
      <w:r w:rsidR="009B2F7E" w:rsidRPr="00F96C06">
        <w:t xml:space="preserve">Miles Kirkpatrick et al., </w:t>
      </w:r>
      <w:r w:rsidR="009B2F7E" w:rsidRPr="00F96C06">
        <w:rPr>
          <w:i/>
          <w:iCs/>
        </w:rPr>
        <w:t xml:space="preserve">Report of the ABA Antitrust Section, </w:t>
      </w:r>
      <w:r w:rsidR="009B2F7E" w:rsidRPr="00F96C06">
        <w:t xml:space="preserve">58 </w:t>
      </w:r>
      <w:r w:rsidR="009B2F7E" w:rsidRPr="00F96C06">
        <w:rPr>
          <w:smallCaps/>
        </w:rPr>
        <w:t>Antitrust L. J.</w:t>
      </w:r>
      <w:r w:rsidR="009B2F7E" w:rsidRPr="00F96C06">
        <w:t xml:space="preserve"> 43, 119 (1989)</w:t>
      </w:r>
      <w:r w:rsidR="00FD2E76" w:rsidRPr="00F96C06">
        <w:t>;</w:t>
      </w:r>
      <w:r w:rsidRPr="00F96C06">
        <w:t xml:space="preserve"> </w:t>
      </w:r>
      <w:r w:rsidRPr="00F96C06">
        <w:rPr>
          <w:i/>
        </w:rPr>
        <w:t>Report of the Task Force on the SEC Administrative Law Judge Process,</w:t>
      </w:r>
      <w:r w:rsidRPr="00F96C06">
        <w:t xml:space="preserve"> 47 </w:t>
      </w:r>
      <w:r w:rsidRPr="00F96C06">
        <w:rPr>
          <w:smallCaps/>
        </w:rPr>
        <w:t>Bus. Lwyr.</w:t>
      </w:r>
      <w:r w:rsidRPr="00F96C06">
        <w:t xml:space="preserve"> 1731, 1732 (1992) Daniel R. Walfish, </w:t>
      </w:r>
      <w:r w:rsidRPr="00F96C06">
        <w:rPr>
          <w:i/>
          <w:iCs/>
        </w:rPr>
        <w:t>The Real Problem with SEC Administrative Proceedings, and How to Fix It</w:t>
      </w:r>
      <w:r w:rsidRPr="00F96C06">
        <w:t xml:space="preserve">, </w:t>
      </w:r>
      <w:r w:rsidRPr="00F96C06">
        <w:rPr>
          <w:smallCaps/>
        </w:rPr>
        <w:t>Forbes</w:t>
      </w:r>
      <w:r w:rsidR="000C4FCF" w:rsidRPr="00F96C06">
        <w:rPr>
          <w:smallCaps/>
        </w:rPr>
        <w:t>,</w:t>
      </w:r>
      <w:r w:rsidRPr="00F96C06">
        <w:t xml:space="preserve"> July 20, 2015.</w:t>
      </w:r>
    </w:p>
  </w:footnote>
  <w:footnote w:id="111">
    <w:p w14:paraId="35B425CA" w14:textId="766D256D" w:rsidR="00954744" w:rsidRPr="00F96C06" w:rsidRDefault="00954744" w:rsidP="00954744">
      <w:r w:rsidRPr="00F96C06">
        <w:rPr>
          <w:rStyle w:val="FootnoteReference"/>
        </w:rPr>
        <w:footnoteRef/>
      </w:r>
      <w:r w:rsidRPr="00F96C06">
        <w:t xml:space="preserve"> </w:t>
      </w:r>
      <w:r w:rsidR="000C4FCF" w:rsidRPr="00F96C06">
        <w:t>A</w:t>
      </w:r>
      <w:r w:rsidRPr="00F96C06">
        <w:t xml:space="preserve">nother type of bias that might be called “institutional bias” exists independently of </w:t>
      </w:r>
      <w:r w:rsidR="000C4FCF" w:rsidRPr="00F96C06">
        <w:t xml:space="preserve">the confirmation bias that might be induced by </w:t>
      </w:r>
      <w:r w:rsidRPr="00F96C06">
        <w:t>greenlighting. Institutional bias means that agency heads are likely to believe in strong enforcement of the regulatory statute for which they are responsible. They probably wish to support the hard work of their prosecutorial and investigative staff by validating those lower-level decisions.  Institutional bias is inevitably present in combined-function agency enforcement proceedings, but confirmation bias adds an additional concerning element.</w:t>
      </w:r>
    </w:p>
  </w:footnote>
  <w:footnote w:id="112">
    <w:p w14:paraId="16AFFE59" w14:textId="04D43914" w:rsidR="003D6332" w:rsidRPr="00F96C06" w:rsidRDefault="003D6332" w:rsidP="003D633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0C4FCF" w:rsidRPr="00F96C06">
        <w:rPr>
          <w:rFonts w:ascii="Times New Roman" w:hAnsi="Times New Roman" w:cs="Times New Roman"/>
          <w:sz w:val="24"/>
          <w:szCs w:val="24"/>
        </w:rPr>
        <w:t xml:space="preserve">Part V. D. </w:t>
      </w:r>
    </w:p>
  </w:footnote>
  <w:footnote w:id="113">
    <w:p w14:paraId="6E30DDC3" w14:textId="6F4F8AC3"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Elman, </w:t>
      </w:r>
      <w:r w:rsidR="00C546FA"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9B2F7E" w:rsidRPr="00F96C06">
        <w:rPr>
          <w:rFonts w:ascii="Times New Roman" w:hAnsi="Times New Roman" w:cs="Times New Roman"/>
          <w:sz w:val="24"/>
          <w:szCs w:val="24"/>
        </w:rPr>
        <w:t>24</w:t>
      </w:r>
      <w:r w:rsidRPr="00F96C06">
        <w:rPr>
          <w:rFonts w:ascii="Times New Roman" w:hAnsi="Times New Roman" w:cs="Times New Roman"/>
          <w:sz w:val="24"/>
          <w:szCs w:val="24"/>
        </w:rPr>
        <w:t xml:space="preserve"> at  810-12; Richard A. Posner, </w:t>
      </w:r>
      <w:r w:rsidRPr="00F96C06">
        <w:rPr>
          <w:rFonts w:ascii="Times New Roman" w:hAnsi="Times New Roman" w:cs="Times New Roman"/>
          <w:i/>
          <w:iCs/>
          <w:sz w:val="24"/>
          <w:szCs w:val="24"/>
        </w:rPr>
        <w:t>The Federal Trade Commission</w:t>
      </w:r>
      <w:r w:rsidR="00E1320A" w:rsidRPr="00F96C06">
        <w:rPr>
          <w:rFonts w:ascii="Times New Roman" w:hAnsi="Times New Roman" w:cs="Times New Roman"/>
          <w:sz w:val="24"/>
          <w:szCs w:val="24"/>
        </w:rPr>
        <w:t>,</w:t>
      </w:r>
      <w:r w:rsidRPr="00F96C06">
        <w:rPr>
          <w:rFonts w:ascii="Times New Roman" w:hAnsi="Times New Roman" w:cs="Times New Roman"/>
          <w:sz w:val="24"/>
          <w:szCs w:val="24"/>
        </w:rPr>
        <w:t xml:space="preserve"> 37 </w:t>
      </w:r>
      <w:r w:rsidRPr="00F96C06">
        <w:rPr>
          <w:rFonts w:ascii="Times New Roman" w:hAnsi="Times New Roman" w:cs="Times New Roman"/>
          <w:smallCaps/>
          <w:sz w:val="24"/>
          <w:szCs w:val="24"/>
        </w:rPr>
        <w:t>U</w:t>
      </w:r>
      <w:r w:rsidR="00E1320A" w:rsidRPr="00F96C06">
        <w:rPr>
          <w:rFonts w:ascii="Times New Roman" w:hAnsi="Times New Roman" w:cs="Times New Roman"/>
          <w:smallCaps/>
          <w:sz w:val="24"/>
          <w:szCs w:val="24"/>
        </w:rPr>
        <w:t>.</w:t>
      </w:r>
      <w:r w:rsidRPr="00F96C06">
        <w:rPr>
          <w:rFonts w:ascii="Times New Roman" w:hAnsi="Times New Roman" w:cs="Times New Roman"/>
          <w:smallCaps/>
          <w:sz w:val="24"/>
          <w:szCs w:val="24"/>
        </w:rPr>
        <w:t xml:space="preserve"> Chi</w:t>
      </w:r>
      <w:r w:rsidR="00E1320A" w:rsidRPr="00F96C06">
        <w:rPr>
          <w:rFonts w:ascii="Times New Roman" w:hAnsi="Times New Roman" w:cs="Times New Roman"/>
          <w:smallCaps/>
          <w:sz w:val="24"/>
          <w:szCs w:val="24"/>
        </w:rPr>
        <w:t>.</w:t>
      </w:r>
      <w:r w:rsidRPr="00F96C06">
        <w:rPr>
          <w:rFonts w:ascii="Times New Roman" w:hAnsi="Times New Roman" w:cs="Times New Roman"/>
          <w:smallCaps/>
          <w:sz w:val="24"/>
          <w:szCs w:val="24"/>
        </w:rPr>
        <w:t xml:space="preserve"> L</w:t>
      </w:r>
      <w:r w:rsidR="00E1320A" w:rsidRPr="00F96C06">
        <w:rPr>
          <w:rFonts w:ascii="Times New Roman" w:hAnsi="Times New Roman" w:cs="Times New Roman"/>
          <w:smallCaps/>
          <w:sz w:val="24"/>
          <w:szCs w:val="24"/>
        </w:rPr>
        <w:t>.</w:t>
      </w:r>
      <w:r w:rsidRPr="00F96C06">
        <w:rPr>
          <w:rFonts w:ascii="Times New Roman" w:hAnsi="Times New Roman" w:cs="Times New Roman"/>
          <w:smallCaps/>
          <w:sz w:val="24"/>
          <w:szCs w:val="24"/>
        </w:rPr>
        <w:t xml:space="preserve"> Rev</w:t>
      </w:r>
      <w:r w:rsidR="00E1320A" w:rsidRPr="00F96C06">
        <w:rPr>
          <w:rFonts w:ascii="Times New Roman" w:hAnsi="Times New Roman" w:cs="Times New Roman"/>
          <w:smallCaps/>
          <w:sz w:val="24"/>
          <w:szCs w:val="24"/>
        </w:rPr>
        <w:t>.</w:t>
      </w:r>
      <w:r w:rsidRPr="00F96C06">
        <w:rPr>
          <w:rFonts w:ascii="Times New Roman" w:hAnsi="Times New Roman" w:cs="Times New Roman"/>
          <w:sz w:val="24"/>
          <w:szCs w:val="24"/>
        </w:rPr>
        <w:t xml:space="preserve"> 47, 53 (1969).  Posner and Elman offer no empirical support for these assertions which were tossed off briefly in long articles criticizing the FTC for other reasons. </w:t>
      </w:r>
    </w:p>
  </w:footnote>
  <w:footnote w:id="114">
    <w:p w14:paraId="44D59DD6" w14:textId="25B4DD59" w:rsidR="00763302" w:rsidRPr="00F96C06" w:rsidRDefault="0076330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8</w:t>
      </w:r>
    </w:p>
  </w:footnote>
  <w:footnote w:id="115">
    <w:p w14:paraId="2E4EC76F" w14:textId="3060B8DC" w:rsidR="00E748D8" w:rsidRPr="00F96C06" w:rsidRDefault="00E748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2; Scherman</w:t>
      </w:r>
      <w:r w:rsidR="000C4FCF" w:rsidRPr="00F96C06">
        <w:rPr>
          <w:rFonts w:ascii="Times New Roman" w:hAnsi="Times New Roman" w:cs="Times New Roman"/>
          <w:sz w:val="24"/>
          <w:szCs w:val="24"/>
        </w:rPr>
        <w:t xml:space="preserve">, </w:t>
      </w:r>
      <w:r w:rsidR="00C546FA" w:rsidRPr="00F96C06">
        <w:rPr>
          <w:rFonts w:ascii="Times New Roman" w:hAnsi="Times New Roman" w:cs="Times New Roman"/>
          <w:i/>
          <w:iCs/>
          <w:sz w:val="24"/>
          <w:szCs w:val="24"/>
        </w:rPr>
        <w:t xml:space="preserve">supra </w:t>
      </w:r>
      <w:r w:rsidR="00C546FA" w:rsidRPr="00F96C06">
        <w:rPr>
          <w:rFonts w:ascii="Times New Roman" w:hAnsi="Times New Roman" w:cs="Times New Roman"/>
          <w:sz w:val="24"/>
          <w:szCs w:val="24"/>
        </w:rPr>
        <w:t>n</w:t>
      </w:r>
      <w:r w:rsidR="000C4FCF" w:rsidRPr="00F96C06">
        <w:rPr>
          <w:rFonts w:ascii="Times New Roman" w:hAnsi="Times New Roman" w:cs="Times New Roman"/>
          <w:sz w:val="24"/>
          <w:szCs w:val="24"/>
        </w:rPr>
        <w:t xml:space="preserve">ote </w:t>
      </w:r>
      <w:r w:rsidR="009B2F7E" w:rsidRPr="00F96C06">
        <w:rPr>
          <w:rFonts w:ascii="Times New Roman" w:hAnsi="Times New Roman" w:cs="Times New Roman"/>
          <w:sz w:val="24"/>
          <w:szCs w:val="24"/>
        </w:rPr>
        <w:t>5</w:t>
      </w:r>
      <w:r w:rsidR="00C546FA" w:rsidRPr="00F96C06">
        <w:rPr>
          <w:rFonts w:ascii="Times New Roman" w:hAnsi="Times New Roman" w:cs="Times New Roman"/>
          <w:sz w:val="24"/>
          <w:szCs w:val="24"/>
        </w:rPr>
        <w:t>7</w:t>
      </w:r>
      <w:r w:rsidR="000C4FCF"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000C4FCF" w:rsidRPr="00F96C06">
        <w:rPr>
          <w:rFonts w:ascii="Times New Roman" w:hAnsi="Times New Roman" w:cs="Times New Roman"/>
          <w:sz w:val="24"/>
          <w:szCs w:val="24"/>
        </w:rPr>
        <w:t xml:space="preserve">Mullins &amp; McEachran, </w:t>
      </w:r>
      <w:r w:rsidR="00C546FA" w:rsidRPr="00F96C06">
        <w:rPr>
          <w:rFonts w:ascii="Times New Roman" w:hAnsi="Times New Roman" w:cs="Times New Roman"/>
          <w:i/>
          <w:iCs/>
          <w:sz w:val="24"/>
          <w:szCs w:val="24"/>
        </w:rPr>
        <w:t xml:space="preserve">supra </w:t>
      </w:r>
      <w:r w:rsidR="000C4FCF" w:rsidRPr="00F96C06">
        <w:rPr>
          <w:rFonts w:ascii="Times New Roman" w:hAnsi="Times New Roman" w:cs="Times New Roman"/>
          <w:sz w:val="24"/>
          <w:szCs w:val="24"/>
        </w:rPr>
        <w:t xml:space="preserve">note </w:t>
      </w:r>
      <w:r w:rsidR="009B2F7E" w:rsidRPr="00F96C06">
        <w:rPr>
          <w:rFonts w:ascii="Times New Roman" w:hAnsi="Times New Roman" w:cs="Times New Roman"/>
          <w:sz w:val="24"/>
          <w:szCs w:val="24"/>
        </w:rPr>
        <w:t>4</w:t>
      </w:r>
      <w:r w:rsidR="00C546FA" w:rsidRPr="00F96C06">
        <w:rPr>
          <w:rFonts w:ascii="Times New Roman" w:hAnsi="Times New Roman" w:cs="Times New Roman"/>
          <w:sz w:val="24"/>
          <w:szCs w:val="24"/>
        </w:rPr>
        <w:t>4</w:t>
      </w:r>
      <w:r w:rsidR="000C4FCF" w:rsidRPr="00F96C06">
        <w:rPr>
          <w:rFonts w:ascii="Times New Roman" w:hAnsi="Times New Roman" w:cs="Times New Roman"/>
          <w:sz w:val="24"/>
          <w:szCs w:val="24"/>
        </w:rPr>
        <w:t xml:space="preserve">. </w:t>
      </w:r>
    </w:p>
  </w:footnote>
  <w:footnote w:id="116">
    <w:p w14:paraId="26248178" w14:textId="31499694" w:rsidR="0014434E" w:rsidRPr="00F96C06" w:rsidRDefault="0014434E">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Grolier</w:t>
      </w:r>
      <w:r w:rsidR="00F7519E" w:rsidRPr="00F96C06">
        <w:rPr>
          <w:rFonts w:ascii="Times New Roman" w:hAnsi="Times New Roman" w:cs="Times New Roman"/>
          <w:sz w:val="24"/>
          <w:szCs w:val="24"/>
        </w:rPr>
        <w:t xml:space="preserve">, Inc. v. FTC, 615 F.2d 1219-21 (9th Cir. 1980). </w:t>
      </w:r>
    </w:p>
  </w:footnote>
  <w:footnote w:id="117">
    <w:p w14:paraId="281313BD" w14:textId="1076FD2B" w:rsidR="004154C2" w:rsidRPr="00F96C06" w:rsidRDefault="004154C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F7519E" w:rsidRPr="00F96C06">
        <w:rPr>
          <w:rFonts w:ascii="Times New Roman" w:hAnsi="Times New Roman" w:cs="Times New Roman"/>
          <w:sz w:val="24"/>
          <w:szCs w:val="24"/>
        </w:rPr>
        <w:t xml:space="preserve">Part IV. B. </w:t>
      </w:r>
    </w:p>
  </w:footnote>
  <w:footnote w:id="118">
    <w:p w14:paraId="33A78844" w14:textId="0F7F4061"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w:t>
      </w:r>
      <w:r w:rsidR="00C010C1" w:rsidRPr="00F96C06">
        <w:rPr>
          <w:rFonts w:ascii="Times New Roman" w:hAnsi="Times New Roman" w:cs="Times New Roman"/>
          <w:sz w:val="24"/>
          <w:szCs w:val="24"/>
        </w:rPr>
        <w:t xml:space="preserve">1, </w:t>
      </w:r>
      <w:r w:rsidRPr="00F96C06">
        <w:rPr>
          <w:rFonts w:ascii="Times New Roman" w:hAnsi="Times New Roman" w:cs="Times New Roman"/>
          <w:sz w:val="24"/>
          <w:szCs w:val="24"/>
        </w:rPr>
        <w:t xml:space="preserve">6.  </w:t>
      </w:r>
      <w:r w:rsidR="002421BB" w:rsidRPr="00F96C06">
        <w:rPr>
          <w:rFonts w:ascii="Times New Roman" w:hAnsi="Times New Roman" w:cs="Times New Roman"/>
          <w:sz w:val="24"/>
          <w:szCs w:val="24"/>
        </w:rPr>
        <w:t xml:space="preserve">FTC 5. </w:t>
      </w:r>
      <w:r w:rsidR="00101B2D" w:rsidRPr="00F96C06">
        <w:rPr>
          <w:rFonts w:ascii="Times New Roman" w:hAnsi="Times New Roman" w:cs="Times New Roman"/>
          <w:sz w:val="24"/>
          <w:szCs w:val="24"/>
        </w:rPr>
        <w:t xml:space="preserve">NLRB 3. </w:t>
      </w:r>
    </w:p>
  </w:footnote>
  <w:footnote w:id="119">
    <w:p w14:paraId="4D91AE7D" w14:textId="63F84C00" w:rsidR="002421BB" w:rsidRPr="00F96C06" w:rsidRDefault="002421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5. </w:t>
      </w:r>
    </w:p>
  </w:footnote>
  <w:footnote w:id="120">
    <w:p w14:paraId="2A103F64" w14:textId="498E7DCF" w:rsidR="00C010C1" w:rsidRPr="00F96C06" w:rsidRDefault="00C010C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4. </w:t>
      </w:r>
      <w:r w:rsidR="002421BB" w:rsidRPr="00F96C06">
        <w:rPr>
          <w:rFonts w:ascii="Times New Roman" w:hAnsi="Times New Roman" w:cs="Times New Roman"/>
          <w:sz w:val="24"/>
          <w:szCs w:val="24"/>
        </w:rPr>
        <w:t xml:space="preserve">FTC 3, 4. </w:t>
      </w:r>
      <w:r w:rsidR="00304991" w:rsidRPr="00F96C06">
        <w:rPr>
          <w:rFonts w:ascii="Times New Roman" w:hAnsi="Times New Roman" w:cs="Times New Roman"/>
          <w:sz w:val="24"/>
          <w:szCs w:val="24"/>
        </w:rPr>
        <w:t>FCC 1, 2</w:t>
      </w:r>
      <w:r w:rsidR="00E16AF4" w:rsidRPr="00F96C06">
        <w:rPr>
          <w:rFonts w:ascii="Times New Roman" w:hAnsi="Times New Roman" w:cs="Times New Roman"/>
          <w:sz w:val="24"/>
          <w:szCs w:val="24"/>
        </w:rPr>
        <w:t>.</w:t>
      </w:r>
    </w:p>
  </w:footnote>
  <w:footnote w:id="121">
    <w:p w14:paraId="3D236249" w14:textId="785768A6"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w:t>
      </w:r>
      <w:r w:rsidR="00D82553" w:rsidRPr="00F96C06">
        <w:rPr>
          <w:rFonts w:ascii="Times New Roman" w:hAnsi="Times New Roman" w:cs="Times New Roman"/>
          <w:sz w:val="24"/>
          <w:szCs w:val="24"/>
        </w:rPr>
        <w:t xml:space="preserve">2, </w:t>
      </w:r>
      <w:r w:rsidRPr="00F96C06">
        <w:rPr>
          <w:rFonts w:ascii="Times New Roman" w:hAnsi="Times New Roman" w:cs="Times New Roman"/>
          <w:sz w:val="24"/>
          <w:szCs w:val="24"/>
        </w:rPr>
        <w:t xml:space="preserve">6. </w:t>
      </w:r>
      <w:r w:rsidR="00EB1791" w:rsidRPr="00F96C06">
        <w:rPr>
          <w:rFonts w:ascii="Times New Roman" w:hAnsi="Times New Roman" w:cs="Times New Roman"/>
          <w:sz w:val="24"/>
          <w:szCs w:val="24"/>
        </w:rPr>
        <w:t xml:space="preserve"> </w:t>
      </w:r>
    </w:p>
  </w:footnote>
  <w:footnote w:id="122">
    <w:p w14:paraId="117E4C3C" w14:textId="1A2C65F3"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3. </w:t>
      </w:r>
      <w:r w:rsidR="002421BB" w:rsidRPr="00F96C06">
        <w:rPr>
          <w:rFonts w:ascii="Times New Roman" w:hAnsi="Times New Roman" w:cs="Times New Roman"/>
          <w:sz w:val="24"/>
          <w:szCs w:val="24"/>
        </w:rPr>
        <w:t xml:space="preserve">FTC 2. </w:t>
      </w:r>
      <w:r w:rsidR="00304991" w:rsidRPr="00F96C06">
        <w:rPr>
          <w:rFonts w:ascii="Times New Roman" w:hAnsi="Times New Roman" w:cs="Times New Roman"/>
          <w:sz w:val="24"/>
          <w:szCs w:val="24"/>
        </w:rPr>
        <w:t>FCC 3</w:t>
      </w:r>
      <w:r w:rsidR="00C91B0B" w:rsidRPr="00F96C06">
        <w:rPr>
          <w:rFonts w:ascii="Times New Roman" w:hAnsi="Times New Roman" w:cs="Times New Roman"/>
          <w:sz w:val="24"/>
          <w:szCs w:val="24"/>
        </w:rPr>
        <w:t>.</w:t>
      </w:r>
    </w:p>
  </w:footnote>
  <w:footnote w:id="123">
    <w:p w14:paraId="5A3C1450" w14:textId="163D88CC"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5, 7</w:t>
      </w:r>
      <w:r w:rsidR="00905222" w:rsidRPr="00F96C06">
        <w:rPr>
          <w:rFonts w:ascii="Times New Roman" w:hAnsi="Times New Roman" w:cs="Times New Roman"/>
          <w:sz w:val="24"/>
          <w:szCs w:val="24"/>
        </w:rPr>
        <w:t>, 8</w:t>
      </w:r>
      <w:r w:rsidR="009B2F7E" w:rsidRPr="00F96C06">
        <w:rPr>
          <w:rFonts w:ascii="Times New Roman" w:hAnsi="Times New Roman" w:cs="Times New Roman"/>
          <w:sz w:val="24"/>
          <w:szCs w:val="24"/>
        </w:rPr>
        <w:t>.</w:t>
      </w:r>
      <w:r w:rsidR="00A250CE" w:rsidRPr="00F96C06">
        <w:rPr>
          <w:rFonts w:ascii="Times New Roman" w:hAnsi="Times New Roman" w:cs="Times New Roman"/>
          <w:sz w:val="24"/>
          <w:szCs w:val="24"/>
        </w:rPr>
        <w:t xml:space="preserve">  </w:t>
      </w:r>
      <w:r w:rsidR="002421BB" w:rsidRPr="00F96C06">
        <w:rPr>
          <w:rFonts w:ascii="Times New Roman" w:hAnsi="Times New Roman" w:cs="Times New Roman"/>
          <w:sz w:val="24"/>
          <w:szCs w:val="24"/>
        </w:rPr>
        <w:t>FTC 1</w:t>
      </w:r>
      <w:r w:rsidR="009B2F7E" w:rsidRPr="00F96C06">
        <w:rPr>
          <w:rFonts w:ascii="Times New Roman" w:hAnsi="Times New Roman" w:cs="Times New Roman"/>
          <w:sz w:val="24"/>
          <w:szCs w:val="24"/>
        </w:rPr>
        <w:t>.</w:t>
      </w:r>
      <w:r w:rsidR="002421BB" w:rsidRPr="00F96C06">
        <w:rPr>
          <w:rFonts w:ascii="Times New Roman" w:hAnsi="Times New Roman" w:cs="Times New Roman"/>
          <w:sz w:val="24"/>
          <w:szCs w:val="24"/>
        </w:rPr>
        <w:t xml:space="preserve"> </w:t>
      </w:r>
      <w:r w:rsidR="00FF72B4" w:rsidRPr="00F96C06">
        <w:rPr>
          <w:rFonts w:ascii="Times New Roman" w:hAnsi="Times New Roman" w:cs="Times New Roman"/>
          <w:sz w:val="24"/>
          <w:szCs w:val="24"/>
        </w:rPr>
        <w:t xml:space="preserve">FCC 4. </w:t>
      </w:r>
    </w:p>
  </w:footnote>
  <w:footnote w:id="124">
    <w:p w14:paraId="4DE4301B" w14:textId="3BB68597" w:rsidR="009147C5" w:rsidRPr="00F96C06" w:rsidRDefault="009147C5" w:rsidP="001D253C">
      <w:pPr>
        <w:spacing w:after="164"/>
        <w:ind w:left="-5" w:right="252"/>
      </w:pPr>
      <w:r w:rsidRPr="00F96C06">
        <w:rPr>
          <w:rStyle w:val="FootnoteReference"/>
        </w:rPr>
        <w:footnoteRef/>
      </w:r>
      <w:r w:rsidRPr="00F96C06">
        <w:t xml:space="preserve"> </w:t>
      </w:r>
      <w:r w:rsidR="001D253C" w:rsidRPr="00F96C06">
        <w:t xml:space="preserve">Maureen K. Ohlhausen, </w:t>
      </w:r>
      <w:r w:rsidR="001D253C" w:rsidRPr="00F96C06">
        <w:rPr>
          <w:i/>
          <w:iCs/>
        </w:rPr>
        <w:t>Administrative Litigation at the FTC: Effective Tool for Developing the Law or Rubber Stamp,</w:t>
      </w:r>
      <w:r w:rsidR="001D253C" w:rsidRPr="00F96C06">
        <w:t xml:space="preserve"> 12 </w:t>
      </w:r>
      <w:r w:rsidR="001D253C" w:rsidRPr="00F96C06">
        <w:rPr>
          <w:smallCaps/>
        </w:rPr>
        <w:t xml:space="preserve">J. Competit. Law &amp; Econ. </w:t>
      </w:r>
      <w:r w:rsidR="001D253C" w:rsidRPr="00F96C06">
        <w:t xml:space="preserve">623 (2016). </w:t>
      </w:r>
      <w:r w:rsidRPr="00F96C06">
        <w:t xml:space="preserve">Overall, the </w:t>
      </w:r>
      <w:r w:rsidR="001D253C" w:rsidRPr="00F96C06">
        <w:t xml:space="preserve">FTC agency heads </w:t>
      </w:r>
      <w:r w:rsidRPr="00F96C06">
        <w:t>dismissed 40% of the competition cases that reached the</w:t>
      </w:r>
      <w:r w:rsidR="001D253C" w:rsidRPr="00F96C06">
        <w:t xml:space="preserve">m </w:t>
      </w:r>
      <w:r w:rsidRPr="00F96C06">
        <w:t>for final decision, but dismissed only 9% of the consumer protection cases, suggesting that the final decision stage is not a rubber stamp process</w:t>
      </w:r>
      <w:r w:rsidR="00AB04CA" w:rsidRPr="00F96C06">
        <w:t xml:space="preserve"> in competition cases</w:t>
      </w:r>
      <w:r w:rsidRPr="00F96C06">
        <w:t>.  In an additional 13% of cases in which it imposed liability, the Commission struck some of the allegations, counts, or respondents, suggesting that it engaged in careful analysis.</w:t>
      </w:r>
    </w:p>
  </w:footnote>
  <w:footnote w:id="125">
    <w:p w14:paraId="46165CFE" w14:textId="7F1B3388"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Ohlhausen</w:t>
      </w:r>
      <w:r w:rsidR="00C546FA" w:rsidRPr="00F96C06">
        <w:rPr>
          <w:rFonts w:ascii="Times New Roman" w:hAnsi="Times New Roman" w:cs="Times New Roman"/>
          <w:sz w:val="24"/>
          <w:szCs w:val="24"/>
        </w:rPr>
        <w:t xml:space="preserve">, </w:t>
      </w:r>
      <w:r w:rsidR="00C546FA" w:rsidRPr="00F96C06">
        <w:rPr>
          <w:rFonts w:ascii="Times New Roman" w:hAnsi="Times New Roman" w:cs="Times New Roman"/>
          <w:i/>
          <w:iCs/>
          <w:sz w:val="24"/>
          <w:szCs w:val="24"/>
        </w:rPr>
        <w:t xml:space="preserve">supra </w:t>
      </w:r>
      <w:r w:rsidR="00C546FA" w:rsidRPr="00F96C06">
        <w:rPr>
          <w:rFonts w:ascii="Times New Roman" w:hAnsi="Times New Roman" w:cs="Times New Roman"/>
          <w:sz w:val="24"/>
          <w:szCs w:val="24"/>
        </w:rPr>
        <w:t xml:space="preserve">note 124, </w:t>
      </w:r>
      <w:r w:rsidRPr="00F96C06">
        <w:rPr>
          <w:rFonts w:ascii="Times New Roman" w:hAnsi="Times New Roman" w:cs="Times New Roman"/>
          <w:sz w:val="24"/>
          <w:szCs w:val="24"/>
        </w:rPr>
        <w:t xml:space="preserve">cautions that this conclusion is only suggestive, as many other factors are in play,  such as changes in antitrust doctrine and the rigor of recent FTC decisions </w:t>
      </w:r>
      <w:r w:rsidR="00AB04CA" w:rsidRPr="00F96C06">
        <w:rPr>
          <w:rFonts w:ascii="Times New Roman" w:hAnsi="Times New Roman" w:cs="Times New Roman"/>
          <w:sz w:val="24"/>
          <w:szCs w:val="24"/>
        </w:rPr>
        <w:t xml:space="preserve">at the time of her survey </w:t>
      </w:r>
      <w:r w:rsidRPr="00F96C06">
        <w:rPr>
          <w:rFonts w:ascii="Times New Roman" w:hAnsi="Times New Roman" w:cs="Times New Roman"/>
          <w:sz w:val="24"/>
          <w:szCs w:val="24"/>
        </w:rPr>
        <w:t>as compared to the past.  In more recent years, there have been many fewer cases decided by the FTC agency heads, case selection has been more rigorous, the percentage of complaint dismissals is much lower, and the rate of affirmance by the federal courts is higher.</w:t>
      </w:r>
    </w:p>
  </w:footnote>
  <w:footnote w:id="126">
    <w:p w14:paraId="1DFD0CF8" w14:textId="628DEDB1" w:rsidR="00C26227" w:rsidRPr="00F96C06" w:rsidRDefault="00C26227" w:rsidP="00C2622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Nicole Durkin, </w:t>
      </w:r>
      <w:r w:rsidRPr="00F96C06">
        <w:rPr>
          <w:rFonts w:ascii="Times New Roman" w:hAnsi="Times New Roman" w:cs="Times New Roman"/>
          <w:i/>
          <w:iCs/>
          <w:sz w:val="24"/>
          <w:szCs w:val="24"/>
        </w:rPr>
        <w:t>Rates of Dismissal in FTC Competition Cases from 1950-2011 and Integration of Decision Functions,</w:t>
      </w:r>
      <w:r w:rsidRPr="00F96C06">
        <w:rPr>
          <w:rFonts w:ascii="Times New Roman" w:hAnsi="Times New Roman" w:cs="Times New Roman"/>
          <w:sz w:val="24"/>
          <w:szCs w:val="24"/>
        </w:rPr>
        <w:t xml:space="preserve"> 81 </w:t>
      </w:r>
      <w:r w:rsidRPr="00F96C06">
        <w:rPr>
          <w:rFonts w:ascii="Times New Roman" w:hAnsi="Times New Roman" w:cs="Times New Roman"/>
          <w:smallCaps/>
          <w:sz w:val="24"/>
          <w:szCs w:val="24"/>
        </w:rPr>
        <w:t xml:space="preserve">Geo. Wash. L Rev. </w:t>
      </w:r>
      <w:r w:rsidRPr="00F96C06">
        <w:rPr>
          <w:rFonts w:ascii="Times New Roman" w:hAnsi="Times New Roman" w:cs="Times New Roman"/>
          <w:sz w:val="24"/>
          <w:szCs w:val="24"/>
        </w:rPr>
        <w:t xml:space="preserve">1684 (2013).  Durkin’s study concerned only competition cases, not consumer-protection cases and counted only “merits” dismissals, excluding non-merits decisions. The dismissal rate was 21% in the 1950s, 14% in the 1960s, 18% in the 1970s, 38% in the 1980s, 18% in the 1990s, and 0% in 2000-2011.  The majority of the dismissals were “straddle” cases meaning they were brought under a president from one party but decided under a president from the opposing party. </w:t>
      </w:r>
    </w:p>
  </w:footnote>
  <w:footnote w:id="127">
    <w:p w14:paraId="1C3B644D" w14:textId="1263957C" w:rsidR="00C26227" w:rsidRPr="00F96C06" w:rsidRDefault="00C2622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A. Douglas Melamed, Comments Submitted to the Federal Trade Commission, Workshop Concerning Section 5 of the FTC Act (Oct. 14. 2008, pp. 14-17 (questioning impartiality of the FTC heads based on high percentage of agency wins); Joshua Wright, </w:t>
      </w:r>
      <w:r w:rsidRPr="00F96C06">
        <w:rPr>
          <w:rFonts w:ascii="Times New Roman" w:hAnsi="Times New Roman" w:cs="Times New Roman"/>
          <w:i/>
          <w:iCs/>
          <w:sz w:val="24"/>
          <w:szCs w:val="24"/>
        </w:rPr>
        <w:t xml:space="preserve">Supreme Court Should Tell FTC to Listen to Economists, Not Competitors on Antitrust, </w:t>
      </w:r>
      <w:r w:rsidRPr="00F96C06">
        <w:rPr>
          <w:rFonts w:ascii="Times New Roman" w:hAnsi="Times New Roman" w:cs="Times New Roman"/>
          <w:smallCaps/>
          <w:sz w:val="24"/>
          <w:szCs w:val="24"/>
        </w:rPr>
        <w:t xml:space="preserve">Forbes </w:t>
      </w:r>
      <w:r w:rsidRPr="00F96C06">
        <w:rPr>
          <w:rFonts w:ascii="Times New Roman" w:hAnsi="Times New Roman" w:cs="Times New Roman"/>
          <w:sz w:val="24"/>
          <w:szCs w:val="24"/>
        </w:rPr>
        <w:t>March 14, 2016. Wright states that “the FTC has ruled for itself in 100% of its cases over the past three decades,” a claim refuted by Ohlhausen. Pp 10-13.</w:t>
      </w:r>
    </w:p>
  </w:footnote>
  <w:footnote w:id="128">
    <w:p w14:paraId="5A095C70" w14:textId="7FC2ACA6" w:rsidR="001D253C" w:rsidRPr="00F96C06" w:rsidRDefault="001D253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w:t>
      </w:r>
      <w:r w:rsidR="00384D88" w:rsidRPr="00F96C06">
        <w:rPr>
          <w:rFonts w:ascii="Times New Roman" w:hAnsi="Times New Roman" w:cs="Times New Roman"/>
          <w:sz w:val="24"/>
          <w:szCs w:val="24"/>
        </w:rPr>
        <w:t xml:space="preserve"> </w:t>
      </w:r>
      <w:r w:rsidR="00384D88" w:rsidRPr="00F96C06">
        <w:rPr>
          <w:rFonts w:ascii="Times New Roman" w:hAnsi="Times New Roman" w:cs="Times New Roman"/>
          <w:i/>
          <w:iCs/>
          <w:sz w:val="24"/>
          <w:szCs w:val="24"/>
        </w:rPr>
        <w:t xml:space="preserve">supra </w:t>
      </w:r>
      <w:r w:rsidR="009B2F7E" w:rsidRPr="00F96C06">
        <w:rPr>
          <w:rFonts w:ascii="Times New Roman" w:hAnsi="Times New Roman" w:cs="Times New Roman"/>
          <w:sz w:val="24"/>
          <w:szCs w:val="24"/>
        </w:rPr>
        <w:t>note 1</w:t>
      </w:r>
      <w:r w:rsidR="004A3BAA" w:rsidRPr="00F96C06">
        <w:rPr>
          <w:rFonts w:ascii="Times New Roman" w:hAnsi="Times New Roman" w:cs="Times New Roman"/>
          <w:sz w:val="24"/>
          <w:szCs w:val="24"/>
        </w:rPr>
        <w:t>11</w:t>
      </w:r>
      <w:r w:rsidR="009B2F7E" w:rsidRPr="00F96C06">
        <w:rPr>
          <w:rFonts w:ascii="Times New Roman" w:hAnsi="Times New Roman" w:cs="Times New Roman"/>
          <w:sz w:val="24"/>
          <w:szCs w:val="24"/>
        </w:rPr>
        <w:t>,</w:t>
      </w:r>
      <w:r w:rsidRPr="00F96C06">
        <w:rPr>
          <w:rFonts w:ascii="Times New Roman" w:hAnsi="Times New Roman" w:cs="Times New Roman"/>
          <w:sz w:val="24"/>
          <w:szCs w:val="24"/>
        </w:rPr>
        <w:t xml:space="preserve"> discussing the difference between institutional and confirmation bias. </w:t>
      </w:r>
    </w:p>
  </w:footnote>
  <w:footnote w:id="129">
    <w:p w14:paraId="76587761" w14:textId="6D75BF83"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w:t>
      </w:r>
      <w:r w:rsidR="00DA0AE8" w:rsidRPr="00F96C06">
        <w:rPr>
          <w:rFonts w:ascii="Times New Roman" w:hAnsi="Times New Roman" w:cs="Times New Roman"/>
          <w:sz w:val="24"/>
          <w:szCs w:val="24"/>
        </w:rPr>
        <w:t xml:space="preserve">1, </w:t>
      </w:r>
      <w:r w:rsidRPr="00F96C06">
        <w:rPr>
          <w:rFonts w:ascii="Times New Roman" w:hAnsi="Times New Roman" w:cs="Times New Roman"/>
          <w:sz w:val="24"/>
          <w:szCs w:val="24"/>
        </w:rPr>
        <w:t>3, 4, 6</w:t>
      </w:r>
      <w:r w:rsidR="00DA0AE8" w:rsidRPr="00F96C06">
        <w:rPr>
          <w:rFonts w:ascii="Times New Roman" w:hAnsi="Times New Roman" w:cs="Times New Roman"/>
          <w:sz w:val="24"/>
          <w:szCs w:val="24"/>
        </w:rPr>
        <w:t>, 8.</w:t>
      </w:r>
      <w:r w:rsidRPr="00F96C06">
        <w:rPr>
          <w:rFonts w:ascii="Times New Roman" w:hAnsi="Times New Roman" w:cs="Times New Roman"/>
          <w:sz w:val="24"/>
          <w:szCs w:val="24"/>
        </w:rPr>
        <w:t xml:space="preserve"> </w:t>
      </w:r>
    </w:p>
  </w:footnote>
  <w:footnote w:id="130">
    <w:p w14:paraId="3AE8C484" w14:textId="54FD0D93"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1,2, 3, </w:t>
      </w:r>
      <w:r w:rsidR="00642385" w:rsidRPr="00F96C06">
        <w:rPr>
          <w:rFonts w:ascii="Times New Roman" w:hAnsi="Times New Roman" w:cs="Times New Roman"/>
          <w:sz w:val="24"/>
          <w:szCs w:val="24"/>
        </w:rPr>
        <w:t xml:space="preserve">4, 6, 8. </w:t>
      </w:r>
      <w:r w:rsidRPr="00F96C06">
        <w:rPr>
          <w:rFonts w:ascii="Times New Roman" w:hAnsi="Times New Roman" w:cs="Times New Roman"/>
          <w:sz w:val="24"/>
          <w:szCs w:val="24"/>
        </w:rPr>
        <w:t xml:space="preserve">  </w:t>
      </w:r>
    </w:p>
  </w:footnote>
  <w:footnote w:id="131">
    <w:p w14:paraId="01D177EB" w14:textId="510304F3" w:rsidR="003C2EF1" w:rsidRPr="00F96C06" w:rsidRDefault="003C2EF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5. </w:t>
      </w:r>
    </w:p>
  </w:footnote>
  <w:footnote w:id="132">
    <w:p w14:paraId="7267FB80" w14:textId="77777777" w:rsidR="009F4DD0" w:rsidRPr="00F96C06" w:rsidRDefault="009F4DD0" w:rsidP="009F4DD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5. </w:t>
      </w:r>
    </w:p>
  </w:footnote>
  <w:footnote w:id="133">
    <w:p w14:paraId="0EC7D499" w14:textId="77777777" w:rsidR="009147C5" w:rsidRPr="00F96C06" w:rsidRDefault="009147C5" w:rsidP="009147C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FTC 3, 5. </w:t>
      </w:r>
    </w:p>
  </w:footnote>
  <w:footnote w:id="134">
    <w:p w14:paraId="27961967" w14:textId="1F5E2D0E" w:rsidR="001E6D89" w:rsidRPr="00F96C06" w:rsidRDefault="001E6D89" w:rsidP="001E3C97">
      <w:pPr>
        <w:spacing w:line="216" w:lineRule="auto"/>
      </w:pPr>
      <w:r w:rsidRPr="00F96C06">
        <w:rPr>
          <w:rStyle w:val="FootnoteReference"/>
        </w:rPr>
        <w:footnoteRef/>
      </w:r>
      <w:r w:rsidRPr="00F96C06">
        <w:t xml:space="preserve"> </w:t>
      </w:r>
      <w:r w:rsidR="009B2F7E" w:rsidRPr="00F96C06">
        <w:t xml:space="preserve">Vollmer, </w:t>
      </w:r>
      <w:r w:rsidR="004A3BAA" w:rsidRPr="00F96C06">
        <w:rPr>
          <w:i/>
          <w:iCs/>
        </w:rPr>
        <w:t xml:space="preserve">supra </w:t>
      </w:r>
      <w:r w:rsidR="009B2F7E" w:rsidRPr="00F96C06">
        <w:t>note 11</w:t>
      </w:r>
      <w:r w:rsidR="004A3BAA" w:rsidRPr="00F96C06">
        <w:t>0</w:t>
      </w:r>
      <w:r w:rsidR="009B2F7E" w:rsidRPr="00F96C06">
        <w:t xml:space="preserve">. </w:t>
      </w:r>
    </w:p>
  </w:footnote>
  <w:footnote w:id="135">
    <w:p w14:paraId="30B59572" w14:textId="1EB007A7" w:rsidR="00CD4D7F" w:rsidRPr="00F96C06" w:rsidRDefault="00CD4D7F">
      <w:pPr>
        <w:pStyle w:val="FootnoteText"/>
        <w:rPr>
          <w:rFonts w:ascii="Times New Roman" w:hAnsi="Times New Roman" w:cs="Times New Roman"/>
          <w:i/>
          <w:iCs/>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421 U.S. 35 (1975). </w:t>
      </w:r>
      <w:r w:rsidR="002015B3" w:rsidRPr="00F96C06">
        <w:rPr>
          <w:rFonts w:ascii="Times New Roman" w:hAnsi="Times New Roman" w:cs="Times New Roman"/>
          <w:sz w:val="24"/>
          <w:szCs w:val="24"/>
        </w:rPr>
        <w:t xml:space="preserve"> See Michael Asimow, </w:t>
      </w:r>
      <w:r w:rsidR="002015B3" w:rsidRPr="00F96C06">
        <w:rPr>
          <w:rFonts w:ascii="Times New Roman" w:hAnsi="Times New Roman" w:cs="Times New Roman"/>
          <w:i/>
          <w:iCs/>
          <w:sz w:val="24"/>
          <w:szCs w:val="24"/>
        </w:rPr>
        <w:t xml:space="preserve">Withrow v. Larkin, </w:t>
      </w:r>
      <w:r w:rsidR="002015B3" w:rsidRPr="00F96C06">
        <w:rPr>
          <w:rFonts w:ascii="Times New Roman" w:hAnsi="Times New Roman" w:cs="Times New Roman"/>
          <w:sz w:val="24"/>
          <w:szCs w:val="24"/>
        </w:rPr>
        <w:t xml:space="preserve">in </w:t>
      </w:r>
      <w:r w:rsidR="00D0518D" w:rsidRPr="00F96C06">
        <w:rPr>
          <w:rFonts w:ascii="Times New Roman" w:hAnsi="Times New Roman" w:cs="Times New Roman"/>
          <w:smallCaps/>
          <w:sz w:val="24"/>
          <w:szCs w:val="24"/>
        </w:rPr>
        <w:t xml:space="preserve">Leading Cases in Administrative Law, </w:t>
      </w:r>
      <w:r w:rsidR="00014A8C" w:rsidRPr="00F96C06">
        <w:rPr>
          <w:rFonts w:ascii="Times New Roman" w:hAnsi="Times New Roman" w:cs="Times New Roman"/>
          <w:sz w:val="24"/>
          <w:szCs w:val="24"/>
        </w:rPr>
        <w:t xml:space="preserve"> </w:t>
      </w:r>
      <w:r w:rsidR="002015B3" w:rsidRPr="00F96C06">
        <w:rPr>
          <w:rFonts w:ascii="Times New Roman" w:hAnsi="Times New Roman" w:cs="Times New Roman"/>
          <w:sz w:val="24"/>
          <w:szCs w:val="24"/>
        </w:rPr>
        <w:t>Matthew Wi</w:t>
      </w:r>
      <w:r w:rsidR="00DF3838" w:rsidRPr="00F96C06">
        <w:rPr>
          <w:rFonts w:ascii="Times New Roman" w:hAnsi="Times New Roman" w:cs="Times New Roman"/>
          <w:sz w:val="24"/>
          <w:szCs w:val="24"/>
        </w:rPr>
        <w:t>e</w:t>
      </w:r>
      <w:r w:rsidR="002015B3" w:rsidRPr="00F96C06">
        <w:rPr>
          <w:rFonts w:ascii="Times New Roman" w:hAnsi="Times New Roman" w:cs="Times New Roman"/>
          <w:sz w:val="24"/>
          <w:szCs w:val="24"/>
        </w:rPr>
        <w:t>ner</w:t>
      </w:r>
      <w:r w:rsidR="00DF3838" w:rsidRPr="00F96C06">
        <w:rPr>
          <w:rFonts w:ascii="Times New Roman" w:hAnsi="Times New Roman" w:cs="Times New Roman"/>
          <w:sz w:val="24"/>
          <w:szCs w:val="24"/>
        </w:rPr>
        <w:t xml:space="preserve">, Jeremy Graboyes, </w:t>
      </w:r>
      <w:r w:rsidR="002015B3" w:rsidRPr="00F96C06">
        <w:rPr>
          <w:rFonts w:ascii="Times New Roman" w:hAnsi="Times New Roman" w:cs="Times New Roman"/>
          <w:sz w:val="24"/>
          <w:szCs w:val="24"/>
        </w:rPr>
        <w:t xml:space="preserve"> </w:t>
      </w:r>
      <w:r w:rsidR="00014A8C" w:rsidRPr="00F96C06">
        <w:rPr>
          <w:rFonts w:ascii="Times New Roman" w:hAnsi="Times New Roman" w:cs="Times New Roman"/>
          <w:sz w:val="24"/>
          <w:szCs w:val="24"/>
        </w:rPr>
        <w:t xml:space="preserve">and Anna Shavers, </w:t>
      </w:r>
      <w:r w:rsidR="002015B3" w:rsidRPr="00F96C06">
        <w:rPr>
          <w:rFonts w:ascii="Times New Roman" w:hAnsi="Times New Roman" w:cs="Times New Roman"/>
          <w:sz w:val="24"/>
          <w:szCs w:val="24"/>
        </w:rPr>
        <w:t>ed</w:t>
      </w:r>
      <w:r w:rsidR="00014A8C" w:rsidRPr="00F96C06">
        <w:rPr>
          <w:rFonts w:ascii="Times New Roman" w:hAnsi="Times New Roman" w:cs="Times New Roman"/>
          <w:sz w:val="24"/>
          <w:szCs w:val="24"/>
        </w:rPr>
        <w:t>s</w:t>
      </w:r>
      <w:r w:rsidR="004A3BAA" w:rsidRPr="00F96C06">
        <w:rPr>
          <w:rFonts w:ascii="Times New Roman" w:hAnsi="Times New Roman" w:cs="Times New Roman"/>
          <w:sz w:val="24"/>
          <w:szCs w:val="24"/>
        </w:rPr>
        <w:t>.</w:t>
      </w:r>
      <w:r w:rsidR="002015B3" w:rsidRPr="00F96C06">
        <w:rPr>
          <w:rFonts w:ascii="Times New Roman" w:hAnsi="Times New Roman" w:cs="Times New Roman"/>
          <w:sz w:val="24"/>
          <w:szCs w:val="24"/>
        </w:rPr>
        <w:t xml:space="preserve"> (</w:t>
      </w:r>
      <w:r w:rsidR="00014A8C" w:rsidRPr="00F96C06">
        <w:rPr>
          <w:rFonts w:ascii="Times New Roman" w:hAnsi="Times New Roman" w:cs="Times New Roman"/>
          <w:sz w:val="24"/>
          <w:szCs w:val="24"/>
        </w:rPr>
        <w:t xml:space="preserve">forthcoming, </w:t>
      </w:r>
      <w:r w:rsidR="002015B3" w:rsidRPr="00F96C06">
        <w:rPr>
          <w:rFonts w:ascii="Times New Roman" w:hAnsi="Times New Roman" w:cs="Times New Roman"/>
          <w:sz w:val="24"/>
          <w:szCs w:val="24"/>
        </w:rPr>
        <w:t>202</w:t>
      </w:r>
      <w:r w:rsidR="00DF3838" w:rsidRPr="00F96C06">
        <w:rPr>
          <w:rFonts w:ascii="Times New Roman" w:hAnsi="Times New Roman" w:cs="Times New Roman"/>
          <w:sz w:val="24"/>
          <w:szCs w:val="24"/>
        </w:rPr>
        <w:t>3</w:t>
      </w:r>
      <w:r w:rsidR="001E6D89" w:rsidRPr="00F96C06">
        <w:rPr>
          <w:rFonts w:ascii="Times New Roman" w:hAnsi="Times New Roman" w:cs="Times New Roman"/>
          <w:sz w:val="24"/>
          <w:szCs w:val="24"/>
        </w:rPr>
        <w:t>)</w:t>
      </w:r>
      <w:r w:rsidR="004A676C" w:rsidRPr="00F96C06">
        <w:rPr>
          <w:rFonts w:ascii="Times New Roman" w:hAnsi="Times New Roman" w:cs="Times New Roman"/>
          <w:sz w:val="24"/>
          <w:szCs w:val="24"/>
        </w:rPr>
        <w:t>.</w:t>
      </w:r>
      <w:r w:rsidR="002015B3" w:rsidRPr="00F96C06">
        <w:rPr>
          <w:rFonts w:ascii="Times New Roman" w:hAnsi="Times New Roman" w:cs="Times New Roman"/>
          <w:i/>
          <w:iCs/>
          <w:sz w:val="24"/>
          <w:szCs w:val="24"/>
        </w:rPr>
        <w:t xml:space="preserve"> </w:t>
      </w:r>
    </w:p>
  </w:footnote>
  <w:footnote w:id="136">
    <w:p w14:paraId="1EF7C5BB" w14:textId="0E6E298B" w:rsidR="00014A8C" w:rsidRPr="00F96C06" w:rsidRDefault="00014A8C" w:rsidP="00014A8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421 U.S. </w:t>
      </w:r>
      <w:r w:rsidR="007F2501" w:rsidRPr="00F96C06">
        <w:rPr>
          <w:rFonts w:ascii="Times New Roman" w:hAnsi="Times New Roman" w:cs="Times New Roman"/>
          <w:sz w:val="24"/>
          <w:szCs w:val="24"/>
        </w:rPr>
        <w:t xml:space="preserve">at </w:t>
      </w:r>
      <w:r w:rsidRPr="00F96C06">
        <w:rPr>
          <w:rFonts w:ascii="Times New Roman" w:hAnsi="Times New Roman" w:cs="Times New Roman"/>
          <w:sz w:val="24"/>
          <w:szCs w:val="24"/>
        </w:rPr>
        <w:t>57.</w:t>
      </w:r>
    </w:p>
  </w:footnote>
  <w:footnote w:id="137">
    <w:p w14:paraId="0CA413BA" w14:textId="2CA79F03" w:rsidR="00772F57" w:rsidRPr="00F96C06" w:rsidRDefault="00772F57" w:rsidP="000A442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0A4423" w:rsidRPr="00F96C06">
        <w:rPr>
          <w:rFonts w:ascii="Times New Roman" w:hAnsi="Times New Roman" w:cs="Times New Roman"/>
          <w:sz w:val="24"/>
          <w:szCs w:val="24"/>
        </w:rPr>
        <w:t xml:space="preserve">Cement Institute v. FTC, 333 U.S. 683 (1948); Hortonville Joint School Dist. v. Hortonville Educational Ass’n, 426 U.S. 482 (1976).  In </w:t>
      </w:r>
      <w:r w:rsidR="000A4423" w:rsidRPr="00F96C06">
        <w:rPr>
          <w:rFonts w:ascii="Times New Roman" w:hAnsi="Times New Roman" w:cs="Times New Roman"/>
          <w:i/>
          <w:iCs/>
          <w:sz w:val="24"/>
          <w:szCs w:val="24"/>
        </w:rPr>
        <w:t xml:space="preserve">Cement </w:t>
      </w:r>
      <w:r w:rsidR="006C7E0F" w:rsidRPr="00F96C06">
        <w:rPr>
          <w:rFonts w:ascii="Times New Roman" w:hAnsi="Times New Roman" w:cs="Times New Roman"/>
          <w:i/>
          <w:iCs/>
          <w:sz w:val="24"/>
          <w:szCs w:val="24"/>
        </w:rPr>
        <w:t>Institute</w:t>
      </w:r>
      <w:r w:rsidR="000A4423" w:rsidRPr="00F96C06">
        <w:rPr>
          <w:rFonts w:ascii="Times New Roman" w:hAnsi="Times New Roman" w:cs="Times New Roman"/>
          <w:sz w:val="24"/>
          <w:szCs w:val="24"/>
        </w:rPr>
        <w:t xml:space="preserve">, the Court said:  </w:t>
      </w:r>
      <w:r w:rsidR="000A4423" w:rsidRPr="00F96C06">
        <w:rPr>
          <w:rFonts w:ascii="Times New Roman" w:hAnsi="Times New Roman" w:cs="Times New Roman"/>
          <w:color w:val="212121"/>
          <w:sz w:val="24"/>
          <w:szCs w:val="24"/>
        </w:rPr>
        <w:t xml:space="preserve">“If the Commission's opinions expressed in congressionally required reports would bar its members from acting in unfair trade proceedings, it would appear that opinions expressed in the first basing point unfair trade proceeding would similarly disqualify them from ever passing on another.”  </w:t>
      </w:r>
    </w:p>
  </w:footnote>
  <w:footnote w:id="138">
    <w:p w14:paraId="2B7A2494" w14:textId="2FB0D9EE" w:rsidR="008B47F3" w:rsidRPr="00F96C06" w:rsidRDefault="008B47F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 xml:space="preserve">See, </w:t>
      </w:r>
      <w:r w:rsidR="006C7E0F" w:rsidRPr="00F96C06">
        <w:rPr>
          <w:rFonts w:ascii="Times New Roman" w:hAnsi="Times New Roman" w:cs="Times New Roman"/>
          <w:i/>
          <w:iCs/>
          <w:sz w:val="24"/>
          <w:szCs w:val="24"/>
        </w:rPr>
        <w:t>e.g.</w:t>
      </w:r>
      <w:r w:rsidRPr="00F96C06">
        <w:rPr>
          <w:rFonts w:ascii="Times New Roman" w:hAnsi="Times New Roman" w:cs="Times New Roman"/>
          <w:sz w:val="24"/>
          <w:szCs w:val="24"/>
        </w:rPr>
        <w:t>,</w:t>
      </w:r>
      <w:r w:rsidR="000A4423" w:rsidRPr="00F96C06">
        <w:rPr>
          <w:rFonts w:ascii="Times New Roman" w:hAnsi="Times New Roman" w:cs="Times New Roman"/>
          <w:sz w:val="24"/>
          <w:szCs w:val="24"/>
        </w:rPr>
        <w:t xml:space="preserve"> </w:t>
      </w:r>
      <w:r w:rsidR="005E75EC" w:rsidRPr="00F96C06">
        <w:rPr>
          <w:rFonts w:ascii="Times New Roman" w:hAnsi="Times New Roman" w:cs="Times New Roman"/>
          <w:sz w:val="24"/>
          <w:szCs w:val="24"/>
        </w:rPr>
        <w:t>Simpson v. Office of Thrift Supervision, 29 F.3d 1418, 1424-25 (9th Cir. 1994) (rejecting claim of due process violation because agency head both approved prosecution and then decided the case after an ALJ decision)</w:t>
      </w:r>
      <w:r w:rsidR="001A38A1" w:rsidRPr="00F96C06">
        <w:rPr>
          <w:rFonts w:ascii="Times New Roman" w:hAnsi="Times New Roman" w:cs="Times New Roman"/>
          <w:sz w:val="24"/>
          <w:szCs w:val="24"/>
        </w:rPr>
        <w:t>; Marine Shale Processors v. EPA, 81 F.3d 1371, 1385 (5th Cir. 1996) (EPA regional administrator denied permit application, then adjudicated the same issue)</w:t>
      </w:r>
      <w:r w:rsidR="000A4423" w:rsidRPr="00F96C06">
        <w:rPr>
          <w:rFonts w:ascii="Times New Roman" w:hAnsi="Times New Roman" w:cs="Times New Roman"/>
          <w:sz w:val="24"/>
          <w:szCs w:val="24"/>
        </w:rPr>
        <w:t xml:space="preserve">; </w:t>
      </w:r>
      <w:r w:rsidR="000A4423" w:rsidRPr="00F96C06">
        <w:rPr>
          <w:rFonts w:ascii="Times New Roman" w:hAnsi="Times New Roman" w:cs="Times New Roman"/>
          <w:color w:val="212121"/>
          <w:sz w:val="24"/>
          <w:szCs w:val="24"/>
        </w:rPr>
        <w:t>Blinder, Robinson &amp; Co. v. SEC, 837 F.2d 1099, 1107 (D. C. Cir. 1988) (SEC not prohibited from adjudicating case because it earlier prosecuted a criminal case against same party)</w:t>
      </w:r>
      <w:r w:rsidR="005E75EC" w:rsidRPr="00F96C06">
        <w:rPr>
          <w:rFonts w:ascii="Times New Roman" w:hAnsi="Times New Roman" w:cs="Times New Roman"/>
          <w:sz w:val="24"/>
          <w:szCs w:val="24"/>
        </w:rPr>
        <w:t xml:space="preserve">.  A good example of the prevailing law on </w:t>
      </w:r>
      <w:r w:rsidR="001A38A1" w:rsidRPr="00F96C06">
        <w:rPr>
          <w:rFonts w:ascii="Times New Roman" w:hAnsi="Times New Roman" w:cs="Times New Roman"/>
          <w:sz w:val="24"/>
          <w:szCs w:val="24"/>
        </w:rPr>
        <w:t>whether a</w:t>
      </w:r>
      <w:r w:rsidR="007B5959" w:rsidRPr="00F96C06">
        <w:rPr>
          <w:rFonts w:ascii="Times New Roman" w:hAnsi="Times New Roman" w:cs="Times New Roman"/>
          <w:sz w:val="24"/>
          <w:szCs w:val="24"/>
        </w:rPr>
        <w:t xml:space="preserve">gency heads should be </w:t>
      </w:r>
      <w:r w:rsidR="001A38A1" w:rsidRPr="00F96C06">
        <w:rPr>
          <w:rFonts w:ascii="Times New Roman" w:hAnsi="Times New Roman" w:cs="Times New Roman"/>
          <w:sz w:val="24"/>
          <w:szCs w:val="24"/>
        </w:rPr>
        <w:t xml:space="preserve">disqualified because of playing multiple roles </w:t>
      </w:r>
      <w:r w:rsidR="005E75EC" w:rsidRPr="00F96C06">
        <w:rPr>
          <w:rFonts w:ascii="Times New Roman" w:hAnsi="Times New Roman" w:cs="Times New Roman"/>
          <w:sz w:val="24"/>
          <w:szCs w:val="24"/>
        </w:rPr>
        <w:t>is</w:t>
      </w:r>
      <w:r w:rsidRPr="00F96C06">
        <w:rPr>
          <w:rFonts w:ascii="Times New Roman" w:hAnsi="Times New Roman" w:cs="Times New Roman"/>
          <w:sz w:val="24"/>
          <w:szCs w:val="24"/>
        </w:rPr>
        <w:t xml:space="preserve"> Zen Magnets, LLC v. Consumer Prod</w:t>
      </w:r>
      <w:r w:rsidR="007B5959" w:rsidRPr="00F96C06">
        <w:rPr>
          <w:rFonts w:ascii="Times New Roman" w:hAnsi="Times New Roman" w:cs="Times New Roman"/>
          <w:sz w:val="24"/>
          <w:szCs w:val="24"/>
        </w:rPr>
        <w:t>.</w:t>
      </w:r>
      <w:r w:rsidRPr="00F96C06">
        <w:rPr>
          <w:rFonts w:ascii="Times New Roman" w:hAnsi="Times New Roman" w:cs="Times New Roman"/>
          <w:sz w:val="24"/>
          <w:szCs w:val="24"/>
        </w:rPr>
        <w:t xml:space="preserve"> Safety Comm’n, 968 F.3d 1156 (10th Cir. 2020)</w:t>
      </w:r>
      <w:r w:rsidR="005E75EC" w:rsidRPr="00F96C06">
        <w:rPr>
          <w:rFonts w:ascii="Times New Roman" w:hAnsi="Times New Roman" w:cs="Times New Roman"/>
          <w:sz w:val="24"/>
          <w:szCs w:val="24"/>
        </w:rPr>
        <w:t xml:space="preserve">. </w:t>
      </w:r>
      <w:r w:rsidR="005E75EC" w:rsidRPr="00F96C06">
        <w:rPr>
          <w:rFonts w:ascii="Times New Roman" w:hAnsi="Times New Roman" w:cs="Times New Roman"/>
          <w:i/>
          <w:iCs/>
          <w:sz w:val="24"/>
          <w:szCs w:val="24"/>
        </w:rPr>
        <w:t>Zen Magnets</w:t>
      </w:r>
      <w:r w:rsidR="005E75EC" w:rsidRPr="00F96C06">
        <w:rPr>
          <w:rFonts w:ascii="Times New Roman" w:hAnsi="Times New Roman" w:cs="Times New Roman"/>
          <w:sz w:val="24"/>
          <w:szCs w:val="24"/>
        </w:rPr>
        <w:t xml:space="preserve"> held</w:t>
      </w:r>
      <w:r w:rsidRPr="00F96C06">
        <w:rPr>
          <w:rFonts w:ascii="Times New Roman" w:hAnsi="Times New Roman" w:cs="Times New Roman"/>
          <w:sz w:val="24"/>
          <w:szCs w:val="24"/>
        </w:rPr>
        <w:t xml:space="preserve"> that due process </w:t>
      </w:r>
      <w:r w:rsidR="000A4423" w:rsidRPr="00F96C06">
        <w:rPr>
          <w:rFonts w:ascii="Times New Roman" w:hAnsi="Times New Roman" w:cs="Times New Roman"/>
          <w:sz w:val="24"/>
          <w:szCs w:val="24"/>
        </w:rPr>
        <w:t>is</w:t>
      </w:r>
      <w:r w:rsidRPr="00F96C06">
        <w:rPr>
          <w:rFonts w:ascii="Times New Roman" w:hAnsi="Times New Roman" w:cs="Times New Roman"/>
          <w:sz w:val="24"/>
          <w:szCs w:val="24"/>
        </w:rPr>
        <w:t xml:space="preserve"> not violated when agency heads adopt a product safety regulation </w:t>
      </w:r>
      <w:r w:rsidR="005E75EC" w:rsidRPr="00F96C06">
        <w:rPr>
          <w:rFonts w:ascii="Times New Roman" w:hAnsi="Times New Roman" w:cs="Times New Roman"/>
          <w:sz w:val="24"/>
          <w:szCs w:val="24"/>
        </w:rPr>
        <w:t xml:space="preserve">about the dangers of small magnets </w:t>
      </w:r>
      <w:r w:rsidRPr="00F96C06">
        <w:rPr>
          <w:rFonts w:ascii="Times New Roman" w:hAnsi="Times New Roman" w:cs="Times New Roman"/>
          <w:sz w:val="24"/>
          <w:szCs w:val="24"/>
        </w:rPr>
        <w:t>and then adjudicate the same issue. The agency heads made various statements at the time of the rulemaking about the dangers of the product</w:t>
      </w:r>
      <w:r w:rsidR="00935202" w:rsidRPr="00F96C06">
        <w:rPr>
          <w:rFonts w:ascii="Times New Roman" w:hAnsi="Times New Roman" w:cs="Times New Roman"/>
          <w:sz w:val="24"/>
          <w:szCs w:val="24"/>
        </w:rPr>
        <w:t>,</w:t>
      </w:r>
      <w:r w:rsidRPr="00F96C06">
        <w:rPr>
          <w:rFonts w:ascii="Times New Roman" w:hAnsi="Times New Roman" w:cs="Times New Roman"/>
          <w:sz w:val="24"/>
          <w:szCs w:val="24"/>
        </w:rPr>
        <w:t xml:space="preserve"> but the court considered they were “in role” </w:t>
      </w:r>
      <w:r w:rsidR="001A38A1" w:rsidRPr="00F96C06">
        <w:rPr>
          <w:rFonts w:ascii="Times New Roman" w:hAnsi="Times New Roman" w:cs="Times New Roman"/>
          <w:sz w:val="24"/>
          <w:szCs w:val="24"/>
        </w:rPr>
        <w:t xml:space="preserve">(meaning they were performing agency functions as opposed to some non-agency function) </w:t>
      </w:r>
      <w:r w:rsidRPr="00F96C06">
        <w:rPr>
          <w:rFonts w:ascii="Times New Roman" w:hAnsi="Times New Roman" w:cs="Times New Roman"/>
          <w:sz w:val="24"/>
          <w:szCs w:val="24"/>
        </w:rPr>
        <w:t xml:space="preserve">and the statements did not indicate they had prejudged the issue. </w:t>
      </w:r>
    </w:p>
  </w:footnote>
  <w:footnote w:id="139">
    <w:p w14:paraId="03190099" w14:textId="3339B546" w:rsidR="00A5240D" w:rsidRPr="00F96C06" w:rsidRDefault="00A5240D">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136 S. Ct. 1899 (2016). </w:t>
      </w:r>
    </w:p>
  </w:footnote>
  <w:footnote w:id="140">
    <w:p w14:paraId="5A68D6CE" w14:textId="1BBC6BA3" w:rsidR="00531521" w:rsidRPr="00F96C06" w:rsidRDefault="00531521" w:rsidP="00531521">
      <w:r w:rsidRPr="00F96C06">
        <w:rPr>
          <w:rStyle w:val="FootnoteReference"/>
        </w:rPr>
        <w:footnoteRef/>
      </w:r>
      <w:r w:rsidRPr="00F96C06">
        <w:t xml:space="preserve"> See Model Code of Judicial conduct §2.11:  </w:t>
      </w:r>
      <w:r w:rsidR="00ED5AE0" w:rsidRPr="00F96C06">
        <w:t>“</w:t>
      </w:r>
      <w:r w:rsidRPr="00F96C06">
        <w:t>A judge shall disqualify himself or herself in any proceeding in which the judge’s impartiality might reasonably be questioned, including…</w:t>
      </w:r>
      <w:r w:rsidRPr="00F96C06">
        <w:rPr>
          <w:color w:val="000000"/>
        </w:rPr>
        <w:t xml:space="preserve"> (6) The judge:</w:t>
      </w:r>
      <w:r w:rsidRPr="00F96C06">
        <w:rPr>
          <w:color w:val="000000"/>
        </w:rPr>
        <w:br/>
        <w:t>  (a) served as a lawyer in the matter in controversy, or was associated with a lawyer who participated substantially as a lawyer in the matter during such association;</w:t>
      </w:r>
      <w:r w:rsidRPr="00F96C06">
        <w:rPr>
          <w:color w:val="000000"/>
        </w:rPr>
        <w:br/>
        <w:t>  (b) served in governmental employment, and in such capacity participated personally and substantially as a lawyer or public official concerning the proceeding…</w:t>
      </w:r>
      <w:r w:rsidR="00ED5AE0" w:rsidRPr="00F96C06">
        <w:rPr>
          <w:color w:val="000000"/>
        </w:rPr>
        <w:t>”</w:t>
      </w:r>
    </w:p>
    <w:p w14:paraId="75235042" w14:textId="03058537" w:rsidR="00531521" w:rsidRPr="00F96C06" w:rsidRDefault="00531521">
      <w:pPr>
        <w:pStyle w:val="FootnoteText"/>
        <w:rPr>
          <w:rFonts w:ascii="Times New Roman" w:hAnsi="Times New Roman" w:cs="Times New Roman"/>
          <w:sz w:val="24"/>
          <w:szCs w:val="24"/>
        </w:rPr>
      </w:pPr>
      <w:r w:rsidRPr="00F96C06">
        <w:rPr>
          <w:rFonts w:ascii="Times New Roman" w:hAnsi="Times New Roman" w:cs="Times New Roman"/>
          <w:sz w:val="24"/>
          <w:szCs w:val="24"/>
        </w:rPr>
        <w:t xml:space="preserve"> </w:t>
      </w:r>
    </w:p>
  </w:footnote>
  <w:footnote w:id="141">
    <w:p w14:paraId="6045B1CC" w14:textId="53CFB362" w:rsidR="006F60FA" w:rsidRPr="00F96C06" w:rsidRDefault="006F60FA" w:rsidP="006F60FA">
      <w:r w:rsidRPr="00F96C06">
        <w:rPr>
          <w:rStyle w:val="FootnoteReference"/>
        </w:rPr>
        <w:footnoteRef/>
      </w:r>
      <w:r w:rsidRPr="00F96C06">
        <w:t xml:space="preserve"> See Richardson v. Perales, 402 U.S. 389, 410  (1971) which upheld the Social Security practice whereby an administrative law judge </w:t>
      </w:r>
      <w:r w:rsidR="006907D5" w:rsidRPr="00F96C06">
        <w:t xml:space="preserve">is responsible for developing the facts in a disability the case and </w:t>
      </w:r>
      <w:r w:rsidRPr="00F96C06">
        <w:t>then decides the case.  “</w:t>
      </w:r>
      <w:r w:rsidRPr="00F96C06">
        <w:rPr>
          <w:color w:val="3D3D3D"/>
          <w:shd w:val="clear" w:color="auto" w:fill="FFFFFF"/>
        </w:rPr>
        <w:t>Neither are we persuaded by the advocate-judge-multiple-hat suggestion. It assumes too much and would bring down too many procedures designed, and working well, for a governmental structure of great and growing complexity.”</w:t>
      </w:r>
      <w:r w:rsidRPr="00F96C06">
        <w:t xml:space="preserve"> </w:t>
      </w:r>
    </w:p>
  </w:footnote>
  <w:footnote w:id="142">
    <w:p w14:paraId="0A55ED29" w14:textId="77777777" w:rsidR="006F60FA" w:rsidRPr="00F96C06" w:rsidRDefault="006F60FA" w:rsidP="006F60F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Section IV. B. </w:t>
      </w:r>
    </w:p>
  </w:footnote>
  <w:footnote w:id="143">
    <w:p w14:paraId="20380A55" w14:textId="72B07D16" w:rsidR="002A41CE" w:rsidRPr="00F96C06" w:rsidRDefault="002A41CE">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804F24" w:rsidRPr="00F96C06">
        <w:rPr>
          <w:rFonts w:ascii="Times New Roman" w:hAnsi="Times New Roman" w:cs="Times New Roman"/>
          <w:sz w:val="24"/>
          <w:szCs w:val="24"/>
        </w:rPr>
        <w:t xml:space="preserve">Section V. E. </w:t>
      </w:r>
    </w:p>
  </w:footnote>
  <w:footnote w:id="144">
    <w:p w14:paraId="13F6CB46" w14:textId="73CC96E3" w:rsidR="0025138D" w:rsidRPr="00F96C06" w:rsidRDefault="0025138D" w:rsidP="001A38A1">
      <w:r w:rsidRPr="00F96C06">
        <w:rPr>
          <w:rStyle w:val="FootnoteReference"/>
        </w:rPr>
        <w:footnoteRef/>
      </w:r>
      <w:r w:rsidRPr="00F96C06">
        <w:t xml:space="preserve"> See </w:t>
      </w:r>
      <w:r w:rsidR="00351902" w:rsidRPr="00F96C06">
        <w:t xml:space="preserve">Michael </w:t>
      </w:r>
      <w:r w:rsidRPr="00F96C06">
        <w:t xml:space="preserve">Asimow, </w:t>
      </w:r>
      <w:r w:rsidR="00351902" w:rsidRPr="00F96C06">
        <w:rPr>
          <w:i/>
          <w:iCs/>
        </w:rPr>
        <w:t>When the Curtain Falls: Separation of Functions in the Federal Administrative Agencies,</w:t>
      </w:r>
      <w:r w:rsidR="00351902" w:rsidRPr="00F96C06">
        <w:t xml:space="preserve"> 81 </w:t>
      </w:r>
      <w:r w:rsidR="00351902" w:rsidRPr="00F96C06">
        <w:rPr>
          <w:smallCaps/>
        </w:rPr>
        <w:t>Colum. L. Rev. 7</w:t>
      </w:r>
      <w:r w:rsidR="00351902" w:rsidRPr="00F96C06">
        <w:t>59</w:t>
      </w:r>
      <w:r w:rsidR="00804F24" w:rsidRPr="00F96C06">
        <w:t xml:space="preserve"> </w:t>
      </w:r>
      <w:r w:rsidR="00351902" w:rsidRPr="00F96C06">
        <w:t>(1981).</w:t>
      </w:r>
    </w:p>
  </w:footnote>
  <w:footnote w:id="145">
    <w:p w14:paraId="77BF4DE1" w14:textId="752DEA8C" w:rsidR="005A265A" w:rsidRPr="00F96C06" w:rsidRDefault="005A265A" w:rsidP="005A265A">
      <w:r w:rsidRPr="00F96C06">
        <w:rPr>
          <w:rStyle w:val="FootnoteReference"/>
        </w:rPr>
        <w:footnoteRef/>
      </w:r>
      <w:r w:rsidRPr="00F96C06">
        <w:t xml:space="preserve"> According to the legislative history of the APA, “</w:t>
      </w:r>
      <w:r w:rsidRPr="00F96C06">
        <w:rPr>
          <w:color w:val="3D3D3D"/>
          <w:shd w:val="clear" w:color="auto" w:fill="FFFFFF"/>
        </w:rPr>
        <w:t>The exemption from 554(d) was created only for those positions in which involvement in all phases of a case is dictated ‘by the very nature of administrative agencies, where the same authority is responsible for both the investigation-prosecution and the hearing and decision of cases.’”  H.</w:t>
      </w:r>
      <w:r w:rsidR="006C7E0F" w:rsidRPr="00F96C06">
        <w:rPr>
          <w:color w:val="3D3D3D"/>
          <w:shd w:val="clear" w:color="auto" w:fill="FFFFFF"/>
        </w:rPr>
        <w:t xml:space="preserve"> </w:t>
      </w:r>
      <w:r w:rsidRPr="00F96C06">
        <w:rPr>
          <w:color w:val="3D3D3D"/>
          <w:shd w:val="clear" w:color="auto" w:fill="FFFFFF"/>
        </w:rPr>
        <w:t>R.</w:t>
      </w:r>
      <w:r w:rsidR="006C7E0F" w:rsidRPr="00F96C06">
        <w:rPr>
          <w:color w:val="3D3D3D"/>
          <w:shd w:val="clear" w:color="auto" w:fill="FFFFFF"/>
        </w:rPr>
        <w:t xml:space="preserve">  </w:t>
      </w:r>
      <w:r w:rsidRPr="00F96C06">
        <w:rPr>
          <w:color w:val="3D3D3D"/>
          <w:shd w:val="clear" w:color="auto" w:fill="FFFFFF"/>
        </w:rPr>
        <w:t xml:space="preserve">Rep. No. 1980, 79th Cong., 1st Sess. 27 (1946).  </w:t>
      </w:r>
      <w:r w:rsidRPr="00F96C06">
        <w:rPr>
          <w:i/>
          <w:iCs/>
          <w:color w:val="3D3D3D"/>
          <w:shd w:val="clear" w:color="auto" w:fill="FFFFFF"/>
        </w:rPr>
        <w:t>See</w:t>
      </w:r>
      <w:r w:rsidRPr="00F96C06">
        <w:rPr>
          <w:color w:val="3D3D3D"/>
          <w:shd w:val="clear" w:color="auto" w:fill="FFFFFF"/>
        </w:rPr>
        <w:t xml:space="preserve"> Grolier, </w:t>
      </w:r>
      <w:r w:rsidR="00804F24" w:rsidRPr="00F96C06">
        <w:rPr>
          <w:color w:val="3D3D3D"/>
          <w:shd w:val="clear" w:color="auto" w:fill="FFFFFF"/>
        </w:rPr>
        <w:t>I</w:t>
      </w:r>
      <w:r w:rsidRPr="00F96C06">
        <w:rPr>
          <w:color w:val="3D3D3D"/>
          <w:shd w:val="clear" w:color="auto" w:fill="FFFFFF"/>
        </w:rPr>
        <w:t>nc. v. FTC, 615 F.2d 1215, 1220 (9th Cir. 1980)</w:t>
      </w:r>
      <w:r w:rsidR="00212843" w:rsidRPr="00F96C06">
        <w:rPr>
          <w:color w:val="3D3D3D"/>
          <w:shd w:val="clear" w:color="auto" w:fill="FFFFFF"/>
        </w:rPr>
        <w:t>.</w:t>
      </w:r>
      <w:r w:rsidRPr="00F96C06">
        <w:rPr>
          <w:color w:val="3D3D3D"/>
          <w:shd w:val="clear" w:color="auto" w:fill="FFFFFF"/>
        </w:rPr>
        <w:t xml:space="preserve">  </w:t>
      </w:r>
    </w:p>
  </w:footnote>
  <w:footnote w:id="146">
    <w:p w14:paraId="0B896FCB" w14:textId="65626532" w:rsidR="007F0D4F" w:rsidRPr="00F96C06" w:rsidRDefault="007F0D4F">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In Environmental Defense Fund v. EPA, 510 F.2d 1292, 1305</w:t>
      </w:r>
      <w:r w:rsidR="00084BC3" w:rsidRPr="00F96C06">
        <w:rPr>
          <w:rFonts w:ascii="Times New Roman" w:hAnsi="Times New Roman" w:cs="Times New Roman"/>
          <w:sz w:val="24"/>
          <w:szCs w:val="24"/>
        </w:rPr>
        <w:t xml:space="preserve"> (D.C. Cir. 1975)</w:t>
      </w:r>
      <w:r w:rsidRPr="00F96C06">
        <w:rPr>
          <w:rFonts w:ascii="Times New Roman" w:hAnsi="Times New Roman" w:cs="Times New Roman"/>
          <w:sz w:val="24"/>
          <w:szCs w:val="24"/>
        </w:rPr>
        <w:t xml:space="preserve">, Judge Leventhal wrote: [Congress] </w:t>
      </w:r>
      <w:r w:rsidRPr="00F96C06">
        <w:rPr>
          <w:rFonts w:ascii="Times New Roman" w:eastAsia="Times New Roman" w:hAnsi="Times New Roman" w:cs="Times New Roman"/>
          <w:color w:val="3D3D3D"/>
          <w:sz w:val="24"/>
          <w:szCs w:val="24"/>
          <w:shd w:val="clear" w:color="auto" w:fill="FFFFFF"/>
        </w:rPr>
        <w:t xml:space="preserve">has accepted a pragmatic view that the need for effective control by the agency head over the commencement of proceedings requires an ability to conduct consultations in candor with an investigative section on the question whether a notice should be issued and a proceeding begun, and this notwithstanding any residual possibilities of unfairness.” Similarly, </w:t>
      </w:r>
      <w:r w:rsidRPr="00F96C06">
        <w:rPr>
          <w:rFonts w:ascii="Times New Roman" w:eastAsia="Times New Roman" w:hAnsi="Times New Roman" w:cs="Times New Roman"/>
          <w:i/>
          <w:iCs/>
          <w:color w:val="3D3D3D"/>
          <w:sz w:val="24"/>
          <w:szCs w:val="24"/>
          <w:shd w:val="clear" w:color="auto" w:fill="FFFFFF"/>
        </w:rPr>
        <w:t>see</w:t>
      </w:r>
      <w:r w:rsidRPr="00F96C06">
        <w:rPr>
          <w:rFonts w:ascii="Times New Roman" w:eastAsia="Times New Roman" w:hAnsi="Times New Roman" w:cs="Times New Roman"/>
          <w:color w:val="3D3D3D"/>
          <w:sz w:val="24"/>
          <w:szCs w:val="24"/>
          <w:shd w:val="clear" w:color="auto" w:fill="FFFFFF"/>
        </w:rPr>
        <w:t xml:space="preserve"> Air Products &amp; Chemicals, Inc. v. FERC, 650 F.2d 687, 709-10 (5th Cir. 1981) (APA agency head exception allows prosecutorial staff to meet with agency heads in deciding to issue complaint).</w:t>
      </w:r>
    </w:p>
  </w:footnote>
  <w:footnote w:id="147">
    <w:p w14:paraId="75E18749" w14:textId="432150D9" w:rsidR="00351902" w:rsidRPr="00F96C06" w:rsidRDefault="00351902" w:rsidP="00351902">
      <w:r w:rsidRPr="00F96C06">
        <w:rPr>
          <w:rStyle w:val="FootnoteReference"/>
        </w:rPr>
        <w:footnoteRef/>
      </w:r>
      <w:r w:rsidRPr="00F96C06">
        <w:t xml:space="preserve"> </w:t>
      </w:r>
      <w:r w:rsidRPr="00F96C06">
        <w:rPr>
          <w:i/>
          <w:iCs/>
        </w:rPr>
        <w:t xml:space="preserve">Withrow, supra </w:t>
      </w:r>
      <w:r w:rsidRPr="00F96C06">
        <w:t>at 56:  “</w:t>
      </w:r>
      <w:r w:rsidRPr="00F96C06">
        <w:rPr>
          <w:color w:val="3D3D3D"/>
          <w:shd w:val="clear" w:color="auto" w:fill="FFFFFF"/>
        </w:rPr>
        <w:t>It is also very typical for the members of administrative agencies to receive the results of investigations, to approve the filing of charges or formal complaints instituting enforcement proceedings, and then to participate in the ensuing hearings. This mode of procedure does not violate the Administrative Procedure Act, and it does not violate due process of law.”</w:t>
      </w:r>
      <w:r w:rsidR="00752763" w:rsidRPr="00F96C06">
        <w:rPr>
          <w:color w:val="3D3D3D"/>
          <w:shd w:val="clear" w:color="auto" w:fill="FFFFFF"/>
        </w:rPr>
        <w:t xml:space="preserve"> The APA </w:t>
      </w:r>
      <w:r w:rsidR="00752763" w:rsidRPr="00F96C06">
        <w:t xml:space="preserve">does not, however, allow an attorney-adviser to the agency head to later serve as a </w:t>
      </w:r>
      <w:r w:rsidR="007F0D4F" w:rsidRPr="00F96C06">
        <w:t xml:space="preserve">ALJ </w:t>
      </w:r>
      <w:r w:rsidR="00752763" w:rsidRPr="00F96C06">
        <w:t>in the same case in which the adviser materially participated in a greenlighting decision. Grolier Inc. v. Federal Trade Commission, 615 F.2d 1215, 1220 (9th Cir. 1980).</w:t>
      </w:r>
      <w:r w:rsidR="00804F24" w:rsidRPr="00F96C06">
        <w:t xml:space="preserve">  Probably it does not allow agency heads to be advised ex parte by advers</w:t>
      </w:r>
      <w:r w:rsidR="00747A90" w:rsidRPr="00F96C06">
        <w:t>ar</w:t>
      </w:r>
      <w:r w:rsidR="00804F24" w:rsidRPr="00F96C06">
        <w:t>ial staff members when the heads are cons</w:t>
      </w:r>
      <w:r w:rsidR="00747A90" w:rsidRPr="00F96C06">
        <w:t>i</w:t>
      </w:r>
      <w:r w:rsidR="00804F24" w:rsidRPr="00F96C06">
        <w:t xml:space="preserve">dering the final adjudicatory decision.  See Asimow, </w:t>
      </w:r>
      <w:r w:rsidR="002C2042" w:rsidRPr="00F96C06">
        <w:rPr>
          <w:i/>
          <w:iCs/>
        </w:rPr>
        <w:t xml:space="preserve">supra </w:t>
      </w:r>
      <w:r w:rsidR="00804F24" w:rsidRPr="00F96C06">
        <w:t xml:space="preserve">note </w:t>
      </w:r>
      <w:r w:rsidR="00D0518D" w:rsidRPr="00F96C06">
        <w:t>14</w:t>
      </w:r>
      <w:r w:rsidR="002C2042" w:rsidRPr="00F96C06">
        <w:t>4</w:t>
      </w:r>
      <w:r w:rsidR="00D0518D" w:rsidRPr="00F96C06">
        <w:t xml:space="preserve"> </w:t>
      </w:r>
      <w:r w:rsidR="00804F24" w:rsidRPr="00F96C06">
        <w:t xml:space="preserve">at </w:t>
      </w:r>
      <w:r w:rsidR="00747A90" w:rsidRPr="00F96C06">
        <w:t>766.</w:t>
      </w:r>
    </w:p>
  </w:footnote>
  <w:footnote w:id="148">
    <w:p w14:paraId="60E79B3E" w14:textId="2D139D46" w:rsidR="00E049EB" w:rsidRPr="00F96C06" w:rsidRDefault="00E049EB" w:rsidP="00E049E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496C38" w:rsidRPr="00F96C06">
        <w:rPr>
          <w:rFonts w:ascii="Times New Roman" w:hAnsi="Times New Roman" w:cs="Times New Roman"/>
          <w:sz w:val="24"/>
          <w:szCs w:val="24"/>
        </w:rPr>
        <w:t xml:space="preserve">See Part V. H. </w:t>
      </w:r>
    </w:p>
  </w:footnote>
  <w:footnote w:id="149">
    <w:p w14:paraId="41B8C8F1" w14:textId="59E0BF6E" w:rsidR="00A370FE" w:rsidRPr="00F96C06" w:rsidRDefault="00A370FE" w:rsidP="00A52BC4">
      <w:r w:rsidRPr="00F96C06">
        <w:rPr>
          <w:rStyle w:val="FootnoteReference"/>
        </w:rPr>
        <w:footnoteRef/>
      </w:r>
      <w:r w:rsidRPr="00F96C06">
        <w:t xml:space="preserve"> </w:t>
      </w:r>
      <w:r w:rsidR="00806068" w:rsidRPr="00F96C06">
        <w:t>See Parts II.</w:t>
      </w:r>
      <w:r w:rsidR="00304FB2" w:rsidRPr="00F96C06">
        <w:t xml:space="preserve"> </w:t>
      </w:r>
      <w:r w:rsidR="00806068" w:rsidRPr="00F96C06">
        <w:t xml:space="preserve">A, </w:t>
      </w:r>
      <w:r w:rsidR="00076C6E" w:rsidRPr="00F96C06">
        <w:t xml:space="preserve">B, </w:t>
      </w:r>
      <w:r w:rsidR="00806068" w:rsidRPr="00F96C06">
        <w:t xml:space="preserve">D, E. </w:t>
      </w:r>
      <w:r w:rsidR="001730E8" w:rsidRPr="00F96C06">
        <w:t xml:space="preserve">Similarly, </w:t>
      </w:r>
      <w:r w:rsidR="00806068" w:rsidRPr="00F96C06">
        <w:t>t</w:t>
      </w:r>
      <w:r w:rsidRPr="00F96C06">
        <w:t>he Consumer Product Safety Commission staff issues a “</w:t>
      </w:r>
      <w:r w:rsidRPr="00F96C06">
        <w:rPr>
          <w:color w:val="101820"/>
        </w:rPr>
        <w:t xml:space="preserve">Notice and Opportunity to Respond and Advise” (NORA) to targets before recommending that a violation be charged.  </w:t>
      </w:r>
      <w:hyperlink r:id="rId5" w:history="1">
        <w:r w:rsidRPr="00F96C06">
          <w:rPr>
            <w:rStyle w:val="Hyperlink"/>
          </w:rPr>
          <w:t>https://www.consumerfinance.gov/enforcement/life-cycle-of-enforcement-action/</w:t>
        </w:r>
      </w:hyperlink>
      <w:r w:rsidRPr="00F96C06">
        <w:rPr>
          <w:color w:val="101820"/>
        </w:rPr>
        <w:t xml:space="preserve"> </w:t>
      </w:r>
    </w:p>
  </w:footnote>
  <w:footnote w:id="150">
    <w:p w14:paraId="7A070419" w14:textId="6B04FCFD"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5</w:t>
      </w:r>
    </w:p>
  </w:footnote>
  <w:footnote w:id="151">
    <w:p w14:paraId="1157F634" w14:textId="24C7B695" w:rsidR="00B655B1" w:rsidRPr="00F96C06" w:rsidRDefault="00B655B1" w:rsidP="00B655B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A52BC4" w:rsidRPr="00F96C06">
        <w:rPr>
          <w:rFonts w:ascii="Times New Roman" w:hAnsi="Times New Roman" w:cs="Times New Roman"/>
          <w:sz w:val="24"/>
          <w:szCs w:val="24"/>
        </w:rPr>
        <w:t xml:space="preserve">Part II. A. </w:t>
      </w:r>
    </w:p>
  </w:footnote>
  <w:footnote w:id="152">
    <w:p w14:paraId="6CBEF912" w14:textId="77777777" w:rsidR="005719BB" w:rsidRPr="00F96C06" w:rsidRDefault="005719BB" w:rsidP="005719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5</w:t>
      </w:r>
    </w:p>
  </w:footnote>
  <w:footnote w:id="153">
    <w:p w14:paraId="7566250B" w14:textId="77777777" w:rsidR="005719BB" w:rsidRPr="00F96C06" w:rsidRDefault="005719BB" w:rsidP="005719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5</w:t>
      </w:r>
    </w:p>
  </w:footnote>
  <w:footnote w:id="154">
    <w:p w14:paraId="46B0A221" w14:textId="77777777" w:rsidR="005719BB" w:rsidRPr="00F96C06" w:rsidRDefault="005719BB" w:rsidP="005719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to 8. </w:t>
      </w:r>
    </w:p>
  </w:footnote>
  <w:footnote w:id="155">
    <w:p w14:paraId="785A5DAC" w14:textId="2F968432" w:rsidR="005719BB" w:rsidRPr="00F96C06" w:rsidRDefault="005719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DE67A4" w:rsidRPr="00F96C06">
        <w:rPr>
          <w:rFonts w:ascii="Times New Roman" w:hAnsi="Times New Roman" w:cs="Times New Roman"/>
          <w:sz w:val="24"/>
          <w:szCs w:val="24"/>
        </w:rPr>
        <w:t>FERC 1 to 6</w:t>
      </w:r>
      <w:r w:rsidRPr="00F96C06">
        <w:rPr>
          <w:rFonts w:ascii="Times New Roman" w:hAnsi="Times New Roman" w:cs="Times New Roman"/>
          <w:sz w:val="24"/>
          <w:szCs w:val="24"/>
        </w:rPr>
        <w:t xml:space="preserve"> </w:t>
      </w:r>
      <w:r w:rsidR="00DE67A4" w:rsidRPr="00F96C06">
        <w:rPr>
          <w:rFonts w:ascii="Times New Roman" w:hAnsi="Times New Roman" w:cs="Times New Roman"/>
          <w:sz w:val="24"/>
          <w:szCs w:val="24"/>
        </w:rPr>
        <w:t xml:space="preserve">all </w:t>
      </w:r>
      <w:r w:rsidRPr="00F96C06">
        <w:rPr>
          <w:rFonts w:ascii="Times New Roman" w:hAnsi="Times New Roman" w:cs="Times New Roman"/>
          <w:sz w:val="24"/>
          <w:szCs w:val="24"/>
        </w:rPr>
        <w:t>thought the preliminary findings memo and response procedure w</w:t>
      </w:r>
      <w:r w:rsidR="00DE67A4" w:rsidRPr="00F96C06">
        <w:rPr>
          <w:rFonts w:ascii="Times New Roman" w:hAnsi="Times New Roman" w:cs="Times New Roman"/>
          <w:sz w:val="24"/>
          <w:szCs w:val="24"/>
        </w:rPr>
        <w:t>ere</w:t>
      </w:r>
      <w:r w:rsidRPr="00F96C06">
        <w:rPr>
          <w:rFonts w:ascii="Times New Roman" w:hAnsi="Times New Roman" w:cs="Times New Roman"/>
          <w:sz w:val="24"/>
          <w:szCs w:val="24"/>
        </w:rPr>
        <w:t xml:space="preserve"> quite useful</w:t>
      </w:r>
      <w:r w:rsidR="00DE67A4" w:rsidRPr="00F96C06">
        <w:rPr>
          <w:rFonts w:ascii="Times New Roman" w:hAnsi="Times New Roman" w:cs="Times New Roman"/>
          <w:sz w:val="24"/>
          <w:szCs w:val="24"/>
        </w:rPr>
        <w:t xml:space="preserve"> procedures</w:t>
      </w:r>
      <w:r w:rsidRPr="00F96C06">
        <w:rPr>
          <w:rFonts w:ascii="Times New Roman" w:hAnsi="Times New Roman" w:cs="Times New Roman"/>
          <w:sz w:val="24"/>
          <w:szCs w:val="24"/>
        </w:rPr>
        <w:t xml:space="preserve">. </w:t>
      </w:r>
    </w:p>
  </w:footnote>
  <w:footnote w:id="156">
    <w:p w14:paraId="5CB4160D" w14:textId="24001400" w:rsidR="005719BB" w:rsidRPr="00F96C06" w:rsidRDefault="005719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2,</w:t>
      </w:r>
      <w:r w:rsidR="002B1859" w:rsidRPr="00F96C06">
        <w:rPr>
          <w:rFonts w:ascii="Times New Roman" w:hAnsi="Times New Roman" w:cs="Times New Roman"/>
          <w:sz w:val="24"/>
          <w:szCs w:val="24"/>
        </w:rPr>
        <w:t xml:space="preserve"> </w:t>
      </w:r>
      <w:r w:rsidRPr="00F96C06">
        <w:rPr>
          <w:rFonts w:ascii="Times New Roman" w:hAnsi="Times New Roman" w:cs="Times New Roman"/>
          <w:sz w:val="24"/>
          <w:szCs w:val="24"/>
        </w:rPr>
        <w:t>4, 5, 6.  One interviewee thought</w:t>
      </w:r>
      <w:r w:rsidR="008D7B18" w:rsidRPr="00F96C06">
        <w:rPr>
          <w:rFonts w:ascii="Times New Roman" w:hAnsi="Times New Roman" w:cs="Times New Roman"/>
          <w:sz w:val="24"/>
          <w:szCs w:val="24"/>
        </w:rPr>
        <w:t xml:space="preserve"> the procedure </w:t>
      </w:r>
      <w:r w:rsidRPr="00F96C06">
        <w:rPr>
          <w:rFonts w:ascii="Times New Roman" w:hAnsi="Times New Roman" w:cs="Times New Roman"/>
          <w:sz w:val="24"/>
          <w:szCs w:val="24"/>
        </w:rPr>
        <w:t xml:space="preserve"> was useful because of the long de</w:t>
      </w:r>
      <w:r w:rsidR="008D7B18" w:rsidRPr="00F96C06">
        <w:rPr>
          <w:rFonts w:ascii="Times New Roman" w:hAnsi="Times New Roman" w:cs="Times New Roman"/>
          <w:sz w:val="24"/>
          <w:szCs w:val="24"/>
        </w:rPr>
        <w:t xml:space="preserve">lays </w:t>
      </w:r>
      <w:r w:rsidRPr="00F96C06">
        <w:rPr>
          <w:rFonts w:ascii="Times New Roman" w:hAnsi="Times New Roman" w:cs="Times New Roman"/>
          <w:sz w:val="24"/>
          <w:szCs w:val="24"/>
        </w:rPr>
        <w:t xml:space="preserve">that occur in FERC enforcement; by the time the Rule 1b.19 memo issues, the </w:t>
      </w:r>
      <w:r w:rsidR="008D7B18" w:rsidRPr="00F96C06">
        <w:rPr>
          <w:rFonts w:ascii="Times New Roman" w:hAnsi="Times New Roman" w:cs="Times New Roman"/>
          <w:sz w:val="24"/>
          <w:szCs w:val="24"/>
        </w:rPr>
        <w:t xml:space="preserve">composition of the agency heads </w:t>
      </w:r>
      <w:r w:rsidR="002B1859" w:rsidRPr="00F96C06">
        <w:rPr>
          <w:rFonts w:ascii="Times New Roman" w:hAnsi="Times New Roman" w:cs="Times New Roman"/>
          <w:sz w:val="24"/>
          <w:szCs w:val="24"/>
        </w:rPr>
        <w:t xml:space="preserve">has often changed </w:t>
      </w:r>
      <w:r w:rsidR="008D7B18" w:rsidRPr="00F96C06">
        <w:rPr>
          <w:rFonts w:ascii="Times New Roman" w:hAnsi="Times New Roman" w:cs="Times New Roman"/>
          <w:sz w:val="24"/>
          <w:szCs w:val="24"/>
        </w:rPr>
        <w:t xml:space="preserve">and private lawyers have an opportunity to influence the new commissioners.  FERC 3. </w:t>
      </w:r>
    </w:p>
  </w:footnote>
  <w:footnote w:id="157">
    <w:p w14:paraId="2A031C2B" w14:textId="33A3C96C" w:rsidR="00461337" w:rsidRPr="00F96C06" w:rsidRDefault="0046133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692CE8" w:rsidRPr="00F96C06">
        <w:rPr>
          <w:rFonts w:ascii="Times New Roman" w:hAnsi="Times New Roman" w:cs="Times New Roman"/>
          <w:i/>
          <w:iCs/>
          <w:sz w:val="24"/>
          <w:szCs w:val="24"/>
        </w:rPr>
        <w:t>supra</w:t>
      </w:r>
      <w:r w:rsidR="00692CE8"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note </w:t>
      </w:r>
      <w:r w:rsidR="00692CE8" w:rsidRPr="00F96C06">
        <w:rPr>
          <w:rFonts w:ascii="Times New Roman" w:hAnsi="Times New Roman" w:cs="Times New Roman"/>
          <w:sz w:val="24"/>
          <w:szCs w:val="24"/>
        </w:rPr>
        <w:t xml:space="preserve">98. </w:t>
      </w:r>
      <w:r w:rsidRPr="00F96C06">
        <w:rPr>
          <w:rFonts w:ascii="Times New Roman" w:hAnsi="Times New Roman" w:cs="Times New Roman"/>
          <w:sz w:val="24"/>
          <w:szCs w:val="24"/>
        </w:rPr>
        <w:t xml:space="preserve"> </w:t>
      </w:r>
    </w:p>
  </w:footnote>
  <w:footnote w:id="158">
    <w:p w14:paraId="201A0845" w14:textId="2CB57A5E"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692CE8" w:rsidRPr="00F96C06">
        <w:rPr>
          <w:rFonts w:ascii="Times New Roman" w:hAnsi="Times New Roman" w:cs="Times New Roman"/>
          <w:sz w:val="24"/>
          <w:szCs w:val="24"/>
        </w:rPr>
        <w:t xml:space="preserve">5 U.S.C. </w:t>
      </w:r>
      <w:r w:rsidRPr="00F96C06">
        <w:rPr>
          <w:rFonts w:ascii="Times New Roman" w:hAnsi="Times New Roman" w:cs="Times New Roman"/>
          <w:sz w:val="24"/>
          <w:szCs w:val="24"/>
        </w:rPr>
        <w:t>§557(d)</w:t>
      </w:r>
      <w:r w:rsidR="00DD24BB" w:rsidRPr="00F96C06">
        <w:rPr>
          <w:rFonts w:ascii="Times New Roman" w:hAnsi="Times New Roman" w:cs="Times New Roman"/>
          <w:sz w:val="24"/>
          <w:szCs w:val="24"/>
        </w:rPr>
        <w:t>(1)(E).</w:t>
      </w:r>
    </w:p>
  </w:footnote>
  <w:footnote w:id="159">
    <w:p w14:paraId="58F3FDAD" w14:textId="5C66BC57" w:rsidR="00FF72B4" w:rsidRPr="00F96C06" w:rsidRDefault="00FF72B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4</w:t>
      </w:r>
      <w:r w:rsidR="00060441" w:rsidRPr="00F96C06">
        <w:rPr>
          <w:rFonts w:ascii="Times New Roman" w:hAnsi="Times New Roman" w:cs="Times New Roman"/>
          <w:sz w:val="24"/>
          <w:szCs w:val="24"/>
        </w:rPr>
        <w:t>.</w:t>
      </w:r>
    </w:p>
  </w:footnote>
  <w:footnote w:id="160">
    <w:p w14:paraId="69693D01" w14:textId="6B6FEDDF"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w:t>
      </w:r>
      <w:r w:rsidR="00DD24BB" w:rsidRPr="00F96C06">
        <w:rPr>
          <w:rFonts w:ascii="Times New Roman" w:hAnsi="Times New Roman" w:cs="Times New Roman"/>
          <w:sz w:val="24"/>
          <w:szCs w:val="24"/>
        </w:rPr>
        <w:t xml:space="preserve">1 to 5. </w:t>
      </w:r>
    </w:p>
  </w:footnote>
  <w:footnote w:id="161">
    <w:p w14:paraId="7E3B551C" w14:textId="020E5B33"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5</w:t>
      </w:r>
      <w:r w:rsidR="0014512D" w:rsidRPr="00F96C06">
        <w:rPr>
          <w:rFonts w:ascii="Times New Roman" w:hAnsi="Times New Roman" w:cs="Times New Roman"/>
          <w:sz w:val="24"/>
          <w:szCs w:val="24"/>
        </w:rPr>
        <w:t>.</w:t>
      </w:r>
    </w:p>
  </w:footnote>
  <w:footnote w:id="162">
    <w:p w14:paraId="1387C6A6" w14:textId="7BCD5791"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5</w:t>
      </w:r>
      <w:r w:rsidR="0014512D" w:rsidRPr="00F96C06">
        <w:rPr>
          <w:rFonts w:ascii="Times New Roman" w:hAnsi="Times New Roman" w:cs="Times New Roman"/>
          <w:sz w:val="24"/>
          <w:szCs w:val="24"/>
        </w:rPr>
        <w:t>.</w:t>
      </w:r>
    </w:p>
  </w:footnote>
  <w:footnote w:id="163">
    <w:p w14:paraId="180E0CB5" w14:textId="513BCF90" w:rsidR="00073EC3" w:rsidRPr="00F96C06" w:rsidRDefault="00073EC3" w:rsidP="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1</w:t>
      </w:r>
      <w:r w:rsidR="00DD24BB" w:rsidRPr="00F96C06">
        <w:rPr>
          <w:rFonts w:ascii="Times New Roman" w:hAnsi="Times New Roman" w:cs="Times New Roman"/>
          <w:sz w:val="24"/>
          <w:szCs w:val="24"/>
        </w:rPr>
        <w:t>, 3, 5.</w:t>
      </w:r>
    </w:p>
  </w:footnote>
  <w:footnote w:id="164">
    <w:p w14:paraId="4A18D27F" w14:textId="76E0063D"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163741" w:rsidRPr="00F96C06">
        <w:rPr>
          <w:rFonts w:ascii="Times New Roman" w:hAnsi="Times New Roman" w:cs="Times New Roman"/>
          <w:sz w:val="24"/>
          <w:szCs w:val="24"/>
        </w:rPr>
        <w:t>FTC 2.</w:t>
      </w:r>
      <w:r w:rsidR="005C5D9F" w:rsidRPr="00F96C06">
        <w:rPr>
          <w:rFonts w:ascii="Times New Roman" w:hAnsi="Times New Roman" w:cs="Times New Roman"/>
          <w:sz w:val="24"/>
          <w:szCs w:val="24"/>
        </w:rPr>
        <w:t xml:space="preserve"> </w:t>
      </w:r>
    </w:p>
  </w:footnote>
  <w:footnote w:id="165">
    <w:p w14:paraId="53854604" w14:textId="357E7753" w:rsidR="001667E8" w:rsidRPr="00F96C06" w:rsidRDefault="001667E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2, 4. </w:t>
      </w:r>
    </w:p>
  </w:footnote>
  <w:footnote w:id="166">
    <w:p w14:paraId="256F4C61" w14:textId="71B87F69" w:rsidR="00073EC3" w:rsidRPr="00F96C06" w:rsidRDefault="00073EC3">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AF7DD6" w:rsidRPr="00F96C06">
        <w:rPr>
          <w:rFonts w:ascii="Times New Roman" w:hAnsi="Times New Roman" w:cs="Times New Roman"/>
          <w:sz w:val="24"/>
          <w:szCs w:val="24"/>
        </w:rPr>
        <w:t xml:space="preserve">SEC </w:t>
      </w:r>
      <w:r w:rsidR="00200638" w:rsidRPr="00F96C06">
        <w:rPr>
          <w:rFonts w:ascii="Times New Roman" w:hAnsi="Times New Roman" w:cs="Times New Roman"/>
          <w:sz w:val="24"/>
          <w:szCs w:val="24"/>
        </w:rPr>
        <w:t xml:space="preserve">1 to 8. </w:t>
      </w:r>
      <w:r w:rsidR="00603415" w:rsidRPr="00F96C06">
        <w:rPr>
          <w:rFonts w:ascii="Times New Roman" w:hAnsi="Times New Roman" w:cs="Times New Roman"/>
          <w:sz w:val="24"/>
          <w:szCs w:val="24"/>
        </w:rPr>
        <w:t>F</w:t>
      </w:r>
      <w:r w:rsidR="00370032" w:rsidRPr="00F96C06">
        <w:rPr>
          <w:rFonts w:ascii="Times New Roman" w:hAnsi="Times New Roman" w:cs="Times New Roman"/>
          <w:sz w:val="24"/>
          <w:szCs w:val="24"/>
        </w:rPr>
        <w:t>ERC</w:t>
      </w:r>
      <w:r w:rsidR="00603415" w:rsidRPr="00F96C06">
        <w:rPr>
          <w:rFonts w:ascii="Times New Roman" w:hAnsi="Times New Roman" w:cs="Times New Roman"/>
          <w:sz w:val="24"/>
          <w:szCs w:val="24"/>
        </w:rPr>
        <w:t xml:space="preserve"> 5,</w:t>
      </w:r>
      <w:r w:rsidR="00370032" w:rsidRPr="00F96C06">
        <w:rPr>
          <w:rFonts w:ascii="Times New Roman" w:hAnsi="Times New Roman" w:cs="Times New Roman"/>
          <w:sz w:val="24"/>
          <w:szCs w:val="24"/>
        </w:rPr>
        <w:t xml:space="preserve"> </w:t>
      </w:r>
      <w:r w:rsidR="00603415" w:rsidRPr="00F96C06">
        <w:rPr>
          <w:rFonts w:ascii="Times New Roman" w:hAnsi="Times New Roman" w:cs="Times New Roman"/>
          <w:sz w:val="24"/>
          <w:szCs w:val="24"/>
        </w:rPr>
        <w:t xml:space="preserve">6. </w:t>
      </w:r>
    </w:p>
  </w:footnote>
  <w:footnote w:id="167">
    <w:p w14:paraId="766027EE" w14:textId="57F0EF79" w:rsidR="00DD24BB" w:rsidRPr="00F96C06" w:rsidRDefault="00DD24B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w:t>
      </w:r>
      <w:r w:rsidR="00FF72B4" w:rsidRPr="00F96C06">
        <w:rPr>
          <w:rFonts w:ascii="Times New Roman" w:hAnsi="Times New Roman" w:cs="Times New Roman"/>
          <w:sz w:val="24"/>
          <w:szCs w:val="24"/>
        </w:rPr>
        <w:t>4</w:t>
      </w:r>
      <w:r w:rsidRPr="00F96C06">
        <w:rPr>
          <w:rFonts w:ascii="Times New Roman" w:hAnsi="Times New Roman" w:cs="Times New Roman"/>
          <w:sz w:val="24"/>
          <w:szCs w:val="24"/>
        </w:rPr>
        <w:t xml:space="preserve"> thought each meeting took about an hour. </w:t>
      </w:r>
    </w:p>
  </w:footnote>
  <w:footnote w:id="168">
    <w:p w14:paraId="21068CA9" w14:textId="794DA389" w:rsidR="004D6ED8" w:rsidRPr="00F96C06" w:rsidRDefault="004D6E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 2</w:t>
      </w:r>
      <w:r w:rsidR="009B56FF" w:rsidRPr="00F96C06">
        <w:rPr>
          <w:rFonts w:ascii="Times New Roman" w:hAnsi="Times New Roman" w:cs="Times New Roman"/>
          <w:sz w:val="24"/>
          <w:szCs w:val="24"/>
        </w:rPr>
        <w:t xml:space="preserve">; see Elman, </w:t>
      </w:r>
      <w:r w:rsidR="00692CE8" w:rsidRPr="00F96C06">
        <w:rPr>
          <w:rFonts w:ascii="Times New Roman" w:hAnsi="Times New Roman" w:cs="Times New Roman"/>
          <w:i/>
          <w:iCs/>
          <w:sz w:val="24"/>
          <w:szCs w:val="24"/>
        </w:rPr>
        <w:t xml:space="preserve">supra </w:t>
      </w:r>
      <w:r w:rsidR="00916D6C" w:rsidRPr="00F96C06">
        <w:rPr>
          <w:rFonts w:ascii="Times New Roman" w:hAnsi="Times New Roman" w:cs="Times New Roman"/>
          <w:sz w:val="24"/>
          <w:szCs w:val="24"/>
        </w:rPr>
        <w:t xml:space="preserve">note 24 at </w:t>
      </w:r>
      <w:r w:rsidR="009B56FF" w:rsidRPr="00F96C06">
        <w:rPr>
          <w:rFonts w:ascii="Times New Roman" w:hAnsi="Times New Roman" w:cs="Times New Roman"/>
          <w:sz w:val="24"/>
          <w:szCs w:val="24"/>
        </w:rPr>
        <w:t>788-89</w:t>
      </w:r>
      <w:r w:rsidR="00916D6C" w:rsidRPr="00F96C06">
        <w:rPr>
          <w:rFonts w:ascii="Times New Roman" w:hAnsi="Times New Roman" w:cs="Times New Roman"/>
          <w:sz w:val="24"/>
          <w:szCs w:val="24"/>
        </w:rPr>
        <w:t>.</w:t>
      </w:r>
      <w:r w:rsidR="009B56FF" w:rsidRPr="00F96C06">
        <w:rPr>
          <w:rFonts w:ascii="Times New Roman" w:hAnsi="Times New Roman" w:cs="Times New Roman"/>
          <w:sz w:val="24"/>
          <w:szCs w:val="24"/>
        </w:rPr>
        <w:t xml:space="preserve"> </w:t>
      </w:r>
    </w:p>
  </w:footnote>
  <w:footnote w:id="169">
    <w:p w14:paraId="48475A00" w14:textId="05C90739" w:rsidR="00C340A0" w:rsidRPr="00F96C06" w:rsidRDefault="00C340A0" w:rsidP="00C340A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3</w:t>
      </w:r>
      <w:r w:rsidR="00370032" w:rsidRPr="00F96C06">
        <w:rPr>
          <w:rFonts w:ascii="Times New Roman" w:hAnsi="Times New Roman" w:cs="Times New Roman"/>
          <w:sz w:val="24"/>
          <w:szCs w:val="24"/>
        </w:rPr>
        <w:t>,</w:t>
      </w:r>
      <w:r w:rsidRPr="00F96C06">
        <w:rPr>
          <w:rFonts w:ascii="Times New Roman" w:hAnsi="Times New Roman" w:cs="Times New Roman"/>
          <w:sz w:val="24"/>
          <w:szCs w:val="24"/>
        </w:rPr>
        <w:t xml:space="preserve"> 4. </w:t>
      </w:r>
    </w:p>
  </w:footnote>
  <w:footnote w:id="170">
    <w:p w14:paraId="74547C40" w14:textId="77777777" w:rsidR="00C340A0" w:rsidRPr="00F96C06" w:rsidRDefault="00C340A0" w:rsidP="00C340A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5. </w:t>
      </w:r>
    </w:p>
  </w:footnote>
  <w:footnote w:id="171">
    <w:p w14:paraId="5998AC0B" w14:textId="3FCFAA85" w:rsidR="00AB4720" w:rsidRPr="00F96C06" w:rsidRDefault="00AB472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Scherman, </w:t>
      </w:r>
      <w:r w:rsidR="00692CE8" w:rsidRPr="00F96C06">
        <w:rPr>
          <w:rFonts w:ascii="Times New Roman" w:hAnsi="Times New Roman" w:cs="Times New Roman"/>
          <w:i/>
          <w:iCs/>
          <w:sz w:val="24"/>
          <w:szCs w:val="24"/>
        </w:rPr>
        <w:t xml:space="preserve">supra </w:t>
      </w:r>
      <w:r w:rsidR="008673B1" w:rsidRPr="00F96C06">
        <w:rPr>
          <w:rFonts w:ascii="Times New Roman" w:hAnsi="Times New Roman" w:cs="Times New Roman"/>
          <w:sz w:val="24"/>
          <w:szCs w:val="24"/>
        </w:rPr>
        <w:t xml:space="preserve">note </w:t>
      </w:r>
      <w:r w:rsidR="00916D6C" w:rsidRPr="00F96C06">
        <w:rPr>
          <w:rFonts w:ascii="Times New Roman" w:hAnsi="Times New Roman" w:cs="Times New Roman"/>
          <w:sz w:val="24"/>
          <w:szCs w:val="24"/>
        </w:rPr>
        <w:t>5</w:t>
      </w:r>
      <w:r w:rsidR="00692CE8" w:rsidRPr="00F96C06">
        <w:rPr>
          <w:rFonts w:ascii="Times New Roman" w:hAnsi="Times New Roman" w:cs="Times New Roman"/>
          <w:sz w:val="24"/>
          <w:szCs w:val="24"/>
        </w:rPr>
        <w:t>7</w:t>
      </w:r>
      <w:r w:rsidR="00916D6C" w:rsidRPr="00F96C06">
        <w:rPr>
          <w:rFonts w:ascii="Times New Roman" w:hAnsi="Times New Roman" w:cs="Times New Roman"/>
          <w:sz w:val="24"/>
          <w:szCs w:val="24"/>
        </w:rPr>
        <w:t xml:space="preserve"> </w:t>
      </w:r>
      <w:r w:rsidR="008673B1" w:rsidRPr="00F96C06">
        <w:rPr>
          <w:rFonts w:ascii="Times New Roman" w:hAnsi="Times New Roman" w:cs="Times New Roman"/>
          <w:sz w:val="24"/>
          <w:szCs w:val="24"/>
        </w:rPr>
        <w:t xml:space="preserve">at </w:t>
      </w:r>
      <w:r w:rsidR="009B56FF" w:rsidRPr="00F96C06">
        <w:rPr>
          <w:rFonts w:ascii="Times New Roman" w:hAnsi="Times New Roman" w:cs="Times New Roman"/>
          <w:sz w:val="24"/>
          <w:szCs w:val="24"/>
        </w:rPr>
        <w:t xml:space="preserve">114-15 </w:t>
      </w:r>
      <w:r w:rsidRPr="00F96C06">
        <w:rPr>
          <w:rFonts w:ascii="Times New Roman" w:hAnsi="Times New Roman" w:cs="Times New Roman"/>
          <w:sz w:val="24"/>
          <w:szCs w:val="24"/>
        </w:rPr>
        <w:t xml:space="preserve">(2014). </w:t>
      </w:r>
      <w:r w:rsidR="009B56FF" w:rsidRPr="00F96C06">
        <w:rPr>
          <w:rFonts w:ascii="Times New Roman" w:hAnsi="Times New Roman" w:cs="Times New Roman"/>
          <w:sz w:val="24"/>
          <w:szCs w:val="24"/>
        </w:rPr>
        <w:t xml:space="preserve"> </w:t>
      </w:r>
    </w:p>
  </w:footnote>
  <w:footnote w:id="172">
    <w:p w14:paraId="37DC4637" w14:textId="7AA59059" w:rsidR="00370032" w:rsidRPr="00F96C06" w:rsidRDefault="00370032" w:rsidP="0037003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18 C</w:t>
      </w:r>
      <w:r w:rsidR="00916D6C" w:rsidRPr="00F96C06">
        <w:rPr>
          <w:rFonts w:ascii="Times New Roman" w:hAnsi="Times New Roman" w:cs="Times New Roman"/>
          <w:sz w:val="24"/>
          <w:szCs w:val="24"/>
        </w:rPr>
        <w:t>.</w:t>
      </w:r>
      <w:r w:rsidRPr="00F96C06">
        <w:rPr>
          <w:rFonts w:ascii="Times New Roman" w:hAnsi="Times New Roman" w:cs="Times New Roman"/>
          <w:sz w:val="24"/>
          <w:szCs w:val="24"/>
        </w:rPr>
        <w:t>F</w:t>
      </w:r>
      <w:r w:rsidR="00916D6C" w:rsidRPr="00F96C06">
        <w:rPr>
          <w:rFonts w:ascii="Times New Roman" w:hAnsi="Times New Roman" w:cs="Times New Roman"/>
          <w:sz w:val="24"/>
          <w:szCs w:val="24"/>
        </w:rPr>
        <w:t>.</w:t>
      </w:r>
      <w:r w:rsidRPr="00F96C06">
        <w:rPr>
          <w:rFonts w:ascii="Times New Roman" w:hAnsi="Times New Roman" w:cs="Times New Roman"/>
          <w:sz w:val="24"/>
          <w:szCs w:val="24"/>
        </w:rPr>
        <w:t>R</w:t>
      </w:r>
      <w:r w:rsidR="00916D6C" w:rsidRPr="00F96C06">
        <w:rPr>
          <w:rFonts w:ascii="Times New Roman" w:hAnsi="Times New Roman" w:cs="Times New Roman"/>
          <w:sz w:val="24"/>
          <w:szCs w:val="24"/>
        </w:rPr>
        <w:t>.</w:t>
      </w:r>
      <w:r w:rsidRPr="00F96C06">
        <w:rPr>
          <w:rFonts w:ascii="Times New Roman" w:hAnsi="Times New Roman" w:cs="Times New Roman"/>
          <w:sz w:val="24"/>
          <w:szCs w:val="24"/>
        </w:rPr>
        <w:t xml:space="preserve"> §§2201, 2202.  See Asimow,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916D6C" w:rsidRPr="00F96C06">
        <w:rPr>
          <w:rFonts w:ascii="Times New Roman" w:hAnsi="Times New Roman" w:cs="Times New Roman"/>
          <w:sz w:val="24"/>
          <w:szCs w:val="24"/>
        </w:rPr>
        <w:t>14</w:t>
      </w:r>
      <w:r w:rsidR="00692CE8" w:rsidRPr="00F96C06">
        <w:rPr>
          <w:rFonts w:ascii="Times New Roman" w:hAnsi="Times New Roman" w:cs="Times New Roman"/>
          <w:sz w:val="24"/>
          <w:szCs w:val="24"/>
        </w:rPr>
        <w:t>4</w:t>
      </w:r>
      <w:r w:rsidRPr="00F96C06">
        <w:rPr>
          <w:rFonts w:ascii="Times New Roman" w:hAnsi="Times New Roman" w:cs="Times New Roman"/>
          <w:sz w:val="24"/>
          <w:szCs w:val="24"/>
        </w:rPr>
        <w:t xml:space="preserve"> for discussion of separation of functions.  The APA rule prohibiting ex parte communications by outsiders to agency adjudicators  goes into effect when the proceeding is noticed for hearing</w:t>
      </w:r>
      <w:r w:rsidR="00692CE8" w:rsidRPr="00F96C06">
        <w:rPr>
          <w:rFonts w:ascii="Times New Roman" w:hAnsi="Times New Roman" w:cs="Times New Roman"/>
          <w:sz w:val="24"/>
          <w:szCs w:val="24"/>
        </w:rPr>
        <w:t>,</w:t>
      </w:r>
      <w:r w:rsidRPr="00F96C06">
        <w:rPr>
          <w:rFonts w:ascii="Times New Roman" w:hAnsi="Times New Roman" w:cs="Times New Roman"/>
          <w:sz w:val="24"/>
          <w:szCs w:val="24"/>
        </w:rPr>
        <w:t xml:space="preserve"> but</w:t>
      </w:r>
      <w:r w:rsidR="00692CE8" w:rsidRPr="00F96C06">
        <w:rPr>
          <w:rFonts w:ascii="Times New Roman" w:hAnsi="Times New Roman" w:cs="Times New Roman"/>
          <w:sz w:val="24"/>
          <w:szCs w:val="24"/>
        </w:rPr>
        <w:t xml:space="preserve"> it</w:t>
      </w:r>
      <w:r w:rsidRPr="00F96C06">
        <w:rPr>
          <w:rFonts w:ascii="Times New Roman" w:hAnsi="Times New Roman" w:cs="Times New Roman"/>
          <w:sz w:val="24"/>
          <w:szCs w:val="24"/>
        </w:rPr>
        <w:t xml:space="preserve"> can come into force earlier if the agency so designates. </w:t>
      </w:r>
      <w:r w:rsidR="00692CE8" w:rsidRPr="00F96C06">
        <w:rPr>
          <w:rFonts w:ascii="Times New Roman" w:hAnsi="Times New Roman" w:cs="Times New Roman"/>
          <w:sz w:val="24"/>
          <w:szCs w:val="24"/>
        </w:rPr>
        <w:t xml:space="preserve"> 5 U.S.C. </w:t>
      </w:r>
      <w:r w:rsidRPr="00F96C06">
        <w:rPr>
          <w:rFonts w:ascii="Times New Roman" w:hAnsi="Times New Roman" w:cs="Times New Roman"/>
          <w:sz w:val="24"/>
          <w:szCs w:val="24"/>
        </w:rPr>
        <w:t xml:space="preserve"> </w:t>
      </w:r>
      <w:r w:rsidR="00916D6C" w:rsidRPr="00F96C06">
        <w:rPr>
          <w:rFonts w:ascii="Times New Roman" w:hAnsi="Times New Roman" w:cs="Times New Roman"/>
          <w:sz w:val="24"/>
          <w:szCs w:val="24"/>
        </w:rPr>
        <w:t>§</w:t>
      </w:r>
      <w:r w:rsidRPr="00F96C06">
        <w:rPr>
          <w:rFonts w:ascii="Times New Roman" w:hAnsi="Times New Roman" w:cs="Times New Roman"/>
          <w:sz w:val="24"/>
          <w:szCs w:val="24"/>
        </w:rPr>
        <w:t xml:space="preserve">557(d)(1)(E). The separation of functions rule prohibits adversaries from participating or advising in any ALJ decision or agency review, but </w:t>
      </w:r>
      <w:r w:rsidR="00604500" w:rsidRPr="00F96C06">
        <w:rPr>
          <w:rFonts w:ascii="Times New Roman" w:hAnsi="Times New Roman" w:cs="Times New Roman"/>
          <w:sz w:val="24"/>
          <w:szCs w:val="24"/>
        </w:rPr>
        <w:t xml:space="preserve">staff </w:t>
      </w:r>
      <w:r w:rsidRPr="00F96C06">
        <w:rPr>
          <w:rFonts w:ascii="Times New Roman" w:hAnsi="Times New Roman" w:cs="Times New Roman"/>
          <w:sz w:val="24"/>
          <w:szCs w:val="24"/>
        </w:rPr>
        <w:t xml:space="preserve">adversaries </w:t>
      </w:r>
      <w:r w:rsidR="00604500" w:rsidRPr="00F96C06">
        <w:rPr>
          <w:rFonts w:ascii="Times New Roman" w:hAnsi="Times New Roman" w:cs="Times New Roman"/>
          <w:sz w:val="24"/>
          <w:szCs w:val="24"/>
        </w:rPr>
        <w:t xml:space="preserve">can communicate with agency heads off the record in connection with the greenlighting decision. </w:t>
      </w:r>
      <w:r w:rsidR="00692CE8" w:rsidRPr="00F96C06">
        <w:rPr>
          <w:rFonts w:ascii="Times New Roman" w:hAnsi="Times New Roman" w:cs="Times New Roman"/>
          <w:sz w:val="24"/>
          <w:szCs w:val="24"/>
        </w:rPr>
        <w:t xml:space="preserve"> 5 U.S.C. </w:t>
      </w:r>
      <w:r w:rsidRPr="00F96C06">
        <w:rPr>
          <w:rFonts w:ascii="Times New Roman" w:hAnsi="Times New Roman" w:cs="Times New Roman"/>
          <w:sz w:val="24"/>
          <w:szCs w:val="24"/>
        </w:rPr>
        <w:t>§554(d)</w:t>
      </w:r>
      <w:r w:rsidR="00541D75" w:rsidRPr="00F96C06">
        <w:rPr>
          <w:rFonts w:ascii="Times New Roman" w:hAnsi="Times New Roman" w:cs="Times New Roman"/>
          <w:sz w:val="24"/>
          <w:szCs w:val="24"/>
        </w:rPr>
        <w:t xml:space="preserve">. </w:t>
      </w:r>
      <w:r w:rsidR="00541D75" w:rsidRPr="00F96C06">
        <w:rPr>
          <w:rFonts w:ascii="Times New Roman" w:hAnsi="Times New Roman" w:cs="Times New Roman"/>
          <w:i/>
          <w:iCs/>
          <w:sz w:val="24"/>
          <w:szCs w:val="24"/>
        </w:rPr>
        <w:t>See</w:t>
      </w:r>
      <w:r w:rsidR="00541D75" w:rsidRPr="00F96C06">
        <w:rPr>
          <w:rFonts w:ascii="Times New Roman" w:hAnsi="Times New Roman" w:cs="Times New Roman"/>
          <w:sz w:val="24"/>
          <w:szCs w:val="24"/>
        </w:rPr>
        <w:t xml:space="preserve"> </w:t>
      </w:r>
      <w:r w:rsidR="00EA0EA3" w:rsidRPr="00F96C06">
        <w:rPr>
          <w:rFonts w:ascii="Times New Roman" w:hAnsi="Times New Roman" w:cs="Times New Roman"/>
          <w:sz w:val="24"/>
          <w:szCs w:val="24"/>
        </w:rPr>
        <w:t>Part IV.</w:t>
      </w:r>
      <w:r w:rsidR="00541D75" w:rsidRPr="00F96C06">
        <w:rPr>
          <w:rFonts w:ascii="Times New Roman" w:hAnsi="Times New Roman" w:cs="Times New Roman"/>
          <w:sz w:val="24"/>
          <w:szCs w:val="24"/>
        </w:rPr>
        <w:t xml:space="preserve"> </w:t>
      </w:r>
      <w:r w:rsidR="00EA0EA3" w:rsidRPr="00F96C06">
        <w:rPr>
          <w:rFonts w:ascii="Times New Roman" w:hAnsi="Times New Roman" w:cs="Times New Roman"/>
          <w:sz w:val="24"/>
          <w:szCs w:val="24"/>
        </w:rPr>
        <w:t xml:space="preserve">B. </w:t>
      </w:r>
    </w:p>
  </w:footnote>
  <w:footnote w:id="173">
    <w:p w14:paraId="0B62DB97" w14:textId="4EC32872" w:rsidR="00662EED" w:rsidRPr="00F96C06" w:rsidRDefault="00662EED" w:rsidP="00662EED">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734CA7" w:rsidRPr="00F96C06">
        <w:rPr>
          <w:rFonts w:ascii="Times New Roman" w:hAnsi="Times New Roman" w:cs="Times New Roman"/>
          <w:sz w:val="24"/>
          <w:szCs w:val="24"/>
        </w:rPr>
        <w:t xml:space="preserve">As discussed in Part V. B, </w:t>
      </w:r>
      <w:r w:rsidR="00A96A2C" w:rsidRPr="00F96C06">
        <w:rPr>
          <w:rFonts w:ascii="Times New Roman" w:hAnsi="Times New Roman" w:cs="Times New Roman"/>
          <w:sz w:val="24"/>
          <w:szCs w:val="24"/>
        </w:rPr>
        <w:t xml:space="preserve">FERC permits targets to </w:t>
      </w:r>
      <w:r w:rsidRPr="00F96C06">
        <w:rPr>
          <w:rFonts w:ascii="Times New Roman" w:hAnsi="Times New Roman" w:cs="Times New Roman"/>
          <w:sz w:val="24"/>
          <w:szCs w:val="24"/>
        </w:rPr>
        <w:t>communicate with the agency heads  in writing</w:t>
      </w:r>
      <w:r w:rsidR="00A96A2C" w:rsidRPr="00F96C06">
        <w:rPr>
          <w:rFonts w:ascii="Times New Roman" w:hAnsi="Times New Roman" w:cs="Times New Roman"/>
          <w:sz w:val="24"/>
          <w:szCs w:val="24"/>
        </w:rPr>
        <w:t xml:space="preserve"> before </w:t>
      </w:r>
      <w:r w:rsidR="002A01ED" w:rsidRPr="00F96C06">
        <w:rPr>
          <w:rFonts w:ascii="Times New Roman" w:hAnsi="Times New Roman" w:cs="Times New Roman"/>
          <w:sz w:val="24"/>
          <w:szCs w:val="24"/>
        </w:rPr>
        <w:t xml:space="preserve">they have </w:t>
      </w:r>
      <w:r w:rsidR="00A96A2C" w:rsidRPr="00F96C06">
        <w:rPr>
          <w:rFonts w:ascii="Times New Roman" w:hAnsi="Times New Roman" w:cs="Times New Roman"/>
          <w:sz w:val="24"/>
          <w:szCs w:val="24"/>
        </w:rPr>
        <w:t>greenlighted the case.</w:t>
      </w:r>
      <w:r w:rsidRPr="00F96C06">
        <w:rPr>
          <w:rFonts w:ascii="Times New Roman" w:hAnsi="Times New Roman" w:cs="Times New Roman"/>
          <w:sz w:val="24"/>
          <w:szCs w:val="24"/>
        </w:rPr>
        <w:t xml:space="preserve"> </w:t>
      </w:r>
    </w:p>
  </w:footnote>
  <w:footnote w:id="174">
    <w:p w14:paraId="3FC0AAEB" w14:textId="49905679" w:rsidR="0083487E" w:rsidRPr="00F96C06" w:rsidRDefault="00916D6C" w:rsidP="0083487E">
      <w:pPr>
        <w:pStyle w:val="FootnoteText"/>
        <w:rPr>
          <w:rFonts w:ascii="Times New Roman" w:hAnsi="Times New Roman" w:cs="Times New Roman"/>
          <w:sz w:val="24"/>
          <w:szCs w:val="24"/>
        </w:rPr>
      </w:pPr>
      <w:r w:rsidRPr="00F96C06">
        <w:rPr>
          <w:rFonts w:ascii="Times New Roman" w:hAnsi="Times New Roman" w:cs="Times New Roman"/>
          <w:sz w:val="24"/>
          <w:szCs w:val="24"/>
          <w:vertAlign w:val="superscript"/>
        </w:rPr>
        <w:t>17</w:t>
      </w:r>
      <w:r w:rsidR="00115E27" w:rsidRPr="00F96C06">
        <w:rPr>
          <w:rFonts w:ascii="Times New Roman" w:hAnsi="Times New Roman" w:cs="Times New Roman"/>
          <w:sz w:val="24"/>
          <w:szCs w:val="24"/>
          <w:vertAlign w:val="superscript"/>
        </w:rPr>
        <w:t>4</w:t>
      </w:r>
      <w:r w:rsidRPr="00F96C06">
        <w:rPr>
          <w:rFonts w:ascii="Times New Roman" w:hAnsi="Times New Roman" w:cs="Times New Roman"/>
          <w:sz w:val="24"/>
          <w:szCs w:val="24"/>
        </w:rPr>
        <w:t xml:space="preserve"> Murphy et al., </w:t>
      </w:r>
      <w:r w:rsidR="00692CE8"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note 4</w:t>
      </w:r>
      <w:r w:rsidR="00692CE8" w:rsidRPr="00F96C06">
        <w:rPr>
          <w:rFonts w:ascii="Times New Roman" w:hAnsi="Times New Roman" w:cs="Times New Roman"/>
          <w:sz w:val="24"/>
          <w:szCs w:val="24"/>
        </w:rPr>
        <w:t>4</w:t>
      </w:r>
      <w:r w:rsidRPr="00F96C06">
        <w:rPr>
          <w:rFonts w:ascii="Times New Roman" w:hAnsi="Times New Roman" w:cs="Times New Roman"/>
          <w:sz w:val="24"/>
          <w:szCs w:val="24"/>
        </w:rPr>
        <w:t xml:space="preserve"> at </w:t>
      </w:r>
      <w:r w:rsidR="0083487E" w:rsidRPr="00F96C06">
        <w:rPr>
          <w:rFonts w:ascii="Times New Roman" w:hAnsi="Times New Roman" w:cs="Times New Roman"/>
          <w:sz w:val="24"/>
          <w:szCs w:val="24"/>
        </w:rPr>
        <w:t xml:space="preserve">299-302 </w:t>
      </w:r>
      <w:r w:rsidR="006B42F6" w:rsidRPr="00F96C06">
        <w:rPr>
          <w:rFonts w:ascii="Times New Roman" w:hAnsi="Times New Roman" w:cs="Times New Roman"/>
          <w:sz w:val="24"/>
          <w:szCs w:val="24"/>
        </w:rPr>
        <w:t>(</w:t>
      </w:r>
      <w:r w:rsidR="0083487E" w:rsidRPr="00F96C06">
        <w:rPr>
          <w:rFonts w:ascii="Times New Roman" w:hAnsi="Times New Roman" w:cs="Times New Roman"/>
          <w:sz w:val="24"/>
          <w:szCs w:val="24"/>
        </w:rPr>
        <w:t>2014)</w:t>
      </w:r>
      <w:r w:rsidR="00906F12" w:rsidRPr="00F96C06">
        <w:rPr>
          <w:rFonts w:ascii="Times New Roman" w:hAnsi="Times New Roman" w:cs="Times New Roman"/>
          <w:sz w:val="24"/>
          <w:szCs w:val="24"/>
        </w:rPr>
        <w:t xml:space="preserve">; Mullins &amp; McEachran, </w:t>
      </w:r>
      <w:r w:rsidR="00692CE8" w:rsidRPr="00F96C06">
        <w:rPr>
          <w:rFonts w:ascii="Times New Roman" w:hAnsi="Times New Roman" w:cs="Times New Roman"/>
          <w:i/>
          <w:iCs/>
          <w:sz w:val="24"/>
          <w:szCs w:val="24"/>
        </w:rPr>
        <w:t xml:space="preserve">supra </w:t>
      </w:r>
      <w:r w:rsidR="00906F12" w:rsidRPr="00F96C06">
        <w:rPr>
          <w:rFonts w:ascii="Times New Roman" w:hAnsi="Times New Roman" w:cs="Times New Roman"/>
          <w:sz w:val="24"/>
          <w:szCs w:val="24"/>
        </w:rPr>
        <w:t xml:space="preserve">note </w:t>
      </w:r>
      <w:r w:rsidRPr="00F96C06">
        <w:rPr>
          <w:rFonts w:ascii="Times New Roman" w:hAnsi="Times New Roman" w:cs="Times New Roman"/>
          <w:sz w:val="24"/>
          <w:szCs w:val="24"/>
        </w:rPr>
        <w:t>4</w:t>
      </w:r>
      <w:r w:rsidR="00692CE8" w:rsidRPr="00F96C06">
        <w:rPr>
          <w:rFonts w:ascii="Times New Roman" w:hAnsi="Times New Roman" w:cs="Times New Roman"/>
          <w:sz w:val="24"/>
          <w:szCs w:val="24"/>
        </w:rPr>
        <w:t>4</w:t>
      </w:r>
      <w:r w:rsidR="00906F12" w:rsidRPr="00F96C06">
        <w:rPr>
          <w:rFonts w:ascii="Times New Roman" w:hAnsi="Times New Roman" w:cs="Times New Roman"/>
          <w:sz w:val="24"/>
          <w:szCs w:val="24"/>
        </w:rPr>
        <w:t xml:space="preserve"> at 285-86. </w:t>
      </w:r>
      <w:r w:rsidR="0083487E" w:rsidRPr="00F96C06">
        <w:rPr>
          <w:rFonts w:ascii="Times New Roman" w:hAnsi="Times New Roman" w:cs="Times New Roman"/>
          <w:sz w:val="24"/>
          <w:szCs w:val="24"/>
        </w:rPr>
        <w:t xml:space="preserve"> </w:t>
      </w:r>
    </w:p>
  </w:footnote>
  <w:footnote w:id="175">
    <w:p w14:paraId="1D915C21" w14:textId="44A29BDA" w:rsidR="00F85AB0" w:rsidRPr="00F96C06" w:rsidRDefault="00F85AB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1D3159" w:rsidRPr="00F96C06">
        <w:rPr>
          <w:rFonts w:ascii="Times New Roman" w:hAnsi="Times New Roman" w:cs="Times New Roman"/>
          <w:sz w:val="24"/>
          <w:szCs w:val="24"/>
        </w:rPr>
        <w:t xml:space="preserve">SEC </w:t>
      </w:r>
      <w:r w:rsidR="004A440B" w:rsidRPr="00F96C06">
        <w:rPr>
          <w:rFonts w:ascii="Times New Roman" w:hAnsi="Times New Roman" w:cs="Times New Roman"/>
          <w:sz w:val="24"/>
          <w:szCs w:val="24"/>
        </w:rPr>
        <w:t xml:space="preserve">1 to 7; </w:t>
      </w:r>
      <w:r w:rsidRPr="00F96C06">
        <w:rPr>
          <w:rFonts w:ascii="Times New Roman" w:hAnsi="Times New Roman" w:cs="Times New Roman"/>
          <w:sz w:val="24"/>
          <w:szCs w:val="24"/>
        </w:rPr>
        <w:t xml:space="preserve">FERC </w:t>
      </w:r>
      <w:r w:rsidR="00DF0965" w:rsidRPr="00F96C06">
        <w:rPr>
          <w:rFonts w:ascii="Times New Roman" w:hAnsi="Times New Roman" w:cs="Times New Roman"/>
          <w:sz w:val="24"/>
          <w:szCs w:val="24"/>
        </w:rPr>
        <w:t>1, 3, 5, 6.</w:t>
      </w:r>
      <w:r w:rsidRPr="00F96C06">
        <w:rPr>
          <w:rFonts w:ascii="Times New Roman" w:hAnsi="Times New Roman" w:cs="Times New Roman"/>
          <w:sz w:val="24"/>
          <w:szCs w:val="24"/>
        </w:rPr>
        <w:t xml:space="preserve">  </w:t>
      </w:r>
      <w:r w:rsidR="005E3BFC" w:rsidRPr="00F96C06">
        <w:rPr>
          <w:rFonts w:ascii="Times New Roman" w:hAnsi="Times New Roman" w:cs="Times New Roman"/>
          <w:sz w:val="24"/>
          <w:szCs w:val="24"/>
        </w:rPr>
        <w:t xml:space="preserve">FTC 1 to 3. </w:t>
      </w:r>
    </w:p>
  </w:footnote>
  <w:footnote w:id="176">
    <w:p w14:paraId="39A38D37" w14:textId="33B808FE" w:rsidR="001D3159" w:rsidRPr="00F96C06" w:rsidRDefault="001D315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A96A2C" w:rsidRPr="00F96C06">
        <w:rPr>
          <w:rFonts w:ascii="Times New Roman" w:hAnsi="Times New Roman" w:cs="Times New Roman"/>
          <w:sz w:val="24"/>
          <w:szCs w:val="24"/>
        </w:rPr>
        <w:t>5 USC §552b(c)(10).</w:t>
      </w:r>
      <w:r w:rsidRPr="00F96C06">
        <w:rPr>
          <w:rFonts w:ascii="Times New Roman" w:hAnsi="Times New Roman" w:cs="Times New Roman"/>
          <w:sz w:val="24"/>
          <w:szCs w:val="24"/>
        </w:rPr>
        <w:t xml:space="preserve"> </w:t>
      </w:r>
    </w:p>
  </w:footnote>
  <w:footnote w:id="177">
    <w:p w14:paraId="6A7B7A34" w14:textId="05B31089" w:rsidR="004D6ED8" w:rsidRPr="00F96C06" w:rsidRDefault="004D6ED8" w:rsidP="004D6E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Auerbach, </w:t>
      </w:r>
      <w:r w:rsidR="00692CE8"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916D6C" w:rsidRPr="00F96C06">
        <w:rPr>
          <w:rFonts w:ascii="Times New Roman" w:hAnsi="Times New Roman" w:cs="Times New Roman"/>
          <w:sz w:val="24"/>
          <w:szCs w:val="24"/>
        </w:rPr>
        <w:t>2</w:t>
      </w:r>
      <w:r w:rsidR="009368E1" w:rsidRPr="00F96C06">
        <w:rPr>
          <w:rFonts w:ascii="Times New Roman" w:hAnsi="Times New Roman" w:cs="Times New Roman"/>
          <w:sz w:val="24"/>
          <w:szCs w:val="24"/>
        </w:rPr>
        <w:t>6</w:t>
      </w:r>
      <w:r w:rsidR="00916D6C" w:rsidRPr="00F96C06">
        <w:rPr>
          <w:rFonts w:ascii="Times New Roman" w:hAnsi="Times New Roman" w:cs="Times New Roman"/>
          <w:sz w:val="24"/>
          <w:szCs w:val="24"/>
        </w:rPr>
        <w:t xml:space="preserve"> </w:t>
      </w:r>
      <w:r w:rsidRPr="00F96C06">
        <w:rPr>
          <w:rFonts w:ascii="Times New Roman" w:hAnsi="Times New Roman" w:cs="Times New Roman"/>
          <w:sz w:val="24"/>
          <w:szCs w:val="24"/>
        </w:rPr>
        <w:t>at 418-24</w:t>
      </w:r>
      <w:r w:rsidR="007577BA" w:rsidRPr="00F96C06">
        <w:rPr>
          <w:rFonts w:ascii="Times New Roman" w:hAnsi="Times New Roman" w:cs="Times New Roman"/>
          <w:sz w:val="24"/>
          <w:szCs w:val="24"/>
        </w:rPr>
        <w:t>.  This was the practice in the NLRB before the 1947 legislation stripping agency heads of power over the charging process.</w:t>
      </w:r>
      <w:r w:rsidR="007C0A7D" w:rsidRPr="00F96C06">
        <w:rPr>
          <w:rFonts w:ascii="Times New Roman" w:hAnsi="Times New Roman" w:cs="Times New Roman"/>
          <w:sz w:val="24"/>
          <w:szCs w:val="24"/>
        </w:rPr>
        <w:t xml:space="preserve">  Board members spent one morning per week considering questions relating to issuance of </w:t>
      </w:r>
      <w:r w:rsidR="006F21DB" w:rsidRPr="00F96C06">
        <w:rPr>
          <w:rFonts w:ascii="Times New Roman" w:hAnsi="Times New Roman" w:cs="Times New Roman"/>
          <w:sz w:val="24"/>
          <w:szCs w:val="24"/>
        </w:rPr>
        <w:t xml:space="preserve">complaints in </w:t>
      </w:r>
      <w:r w:rsidR="003500D8" w:rsidRPr="00F96C06">
        <w:rPr>
          <w:rFonts w:ascii="Times New Roman" w:hAnsi="Times New Roman" w:cs="Times New Roman"/>
          <w:sz w:val="24"/>
          <w:szCs w:val="24"/>
        </w:rPr>
        <w:t xml:space="preserve">non-routine </w:t>
      </w:r>
      <w:r w:rsidR="007C0A7D" w:rsidRPr="00F96C06">
        <w:rPr>
          <w:rFonts w:ascii="Times New Roman" w:hAnsi="Times New Roman" w:cs="Times New Roman"/>
          <w:sz w:val="24"/>
          <w:szCs w:val="24"/>
        </w:rPr>
        <w:t>c</w:t>
      </w:r>
      <w:r w:rsidR="006F21DB" w:rsidRPr="00F96C06">
        <w:rPr>
          <w:rFonts w:ascii="Times New Roman" w:hAnsi="Times New Roman" w:cs="Times New Roman"/>
          <w:sz w:val="24"/>
          <w:szCs w:val="24"/>
        </w:rPr>
        <w:t>ases.</w:t>
      </w:r>
      <w:r w:rsidR="007C0A7D" w:rsidRPr="00F96C06">
        <w:rPr>
          <w:rFonts w:ascii="Times New Roman" w:hAnsi="Times New Roman" w:cs="Times New Roman"/>
          <w:sz w:val="24"/>
          <w:szCs w:val="24"/>
        </w:rPr>
        <w:t xml:space="preserve"> </w:t>
      </w:r>
      <w:r w:rsidR="00916D6C" w:rsidRPr="00F96C06">
        <w:rPr>
          <w:rFonts w:ascii="Times New Roman" w:hAnsi="Times New Roman" w:cs="Times New Roman"/>
          <w:sz w:val="24"/>
          <w:szCs w:val="24"/>
        </w:rPr>
        <w:t xml:space="preserve">Seymour Scher, </w:t>
      </w:r>
      <w:r w:rsidR="00916D6C" w:rsidRPr="00F96C06">
        <w:rPr>
          <w:rFonts w:ascii="Times New Roman" w:hAnsi="Times New Roman" w:cs="Times New Roman"/>
          <w:i/>
          <w:iCs/>
          <w:sz w:val="24"/>
          <w:szCs w:val="24"/>
        </w:rPr>
        <w:t>The Politics of Agency Organization,</w:t>
      </w:r>
      <w:r w:rsidR="00916D6C" w:rsidRPr="00F96C06">
        <w:rPr>
          <w:rFonts w:ascii="Times New Roman" w:hAnsi="Times New Roman" w:cs="Times New Roman"/>
          <w:sz w:val="24"/>
          <w:szCs w:val="24"/>
        </w:rPr>
        <w:t xml:space="preserve"> 15 </w:t>
      </w:r>
      <w:r w:rsidR="00916D6C" w:rsidRPr="00F96C06">
        <w:rPr>
          <w:rFonts w:ascii="Times New Roman" w:hAnsi="Times New Roman" w:cs="Times New Roman"/>
          <w:smallCaps/>
          <w:sz w:val="24"/>
          <w:szCs w:val="24"/>
        </w:rPr>
        <w:t>Western Pol. Q.</w:t>
      </w:r>
      <w:r w:rsidR="00916D6C" w:rsidRPr="00F96C06">
        <w:rPr>
          <w:rFonts w:ascii="Times New Roman" w:hAnsi="Times New Roman" w:cs="Times New Roman"/>
          <w:sz w:val="24"/>
          <w:szCs w:val="24"/>
        </w:rPr>
        <w:t xml:space="preserve"> 328, 331 (1962) </w:t>
      </w:r>
    </w:p>
  </w:footnote>
  <w:footnote w:id="178">
    <w:p w14:paraId="2A398CDF" w14:textId="77777777" w:rsidR="00674605" w:rsidRPr="00F96C06" w:rsidRDefault="00674605" w:rsidP="00674605">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6.</w:t>
      </w:r>
    </w:p>
  </w:footnote>
  <w:footnote w:id="179">
    <w:p w14:paraId="4A781367" w14:textId="42027D4C" w:rsidR="0033794B" w:rsidRPr="00F96C06" w:rsidRDefault="0033794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3.</w:t>
      </w:r>
    </w:p>
  </w:footnote>
  <w:footnote w:id="180">
    <w:p w14:paraId="6B181E28" w14:textId="6D0CCF5B" w:rsidR="00B03F3A" w:rsidRPr="00F96C06" w:rsidRDefault="00B03F3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This appears to be the case with the FTC. See Part II. B. </w:t>
      </w:r>
      <w:r w:rsidR="00674605" w:rsidRPr="00F96C06">
        <w:rPr>
          <w:rFonts w:ascii="Times New Roman" w:hAnsi="Times New Roman" w:cs="Times New Roman"/>
          <w:sz w:val="24"/>
          <w:szCs w:val="24"/>
        </w:rPr>
        <w:t>The SEC has power to delegate any function to the staff, but a single commissioner can bring any delegated matter to the Commission for review. 15 U</w:t>
      </w:r>
      <w:r w:rsidR="00A3444A" w:rsidRPr="00F96C06">
        <w:rPr>
          <w:rFonts w:ascii="Times New Roman" w:hAnsi="Times New Roman" w:cs="Times New Roman"/>
          <w:sz w:val="24"/>
          <w:szCs w:val="24"/>
        </w:rPr>
        <w:t>.</w:t>
      </w:r>
      <w:r w:rsidR="00674605" w:rsidRPr="00F96C06">
        <w:rPr>
          <w:rFonts w:ascii="Times New Roman" w:hAnsi="Times New Roman" w:cs="Times New Roman"/>
          <w:sz w:val="24"/>
          <w:szCs w:val="24"/>
        </w:rPr>
        <w:t>S</w:t>
      </w:r>
      <w:r w:rsidR="00A3444A" w:rsidRPr="00F96C06">
        <w:rPr>
          <w:rFonts w:ascii="Times New Roman" w:hAnsi="Times New Roman" w:cs="Times New Roman"/>
          <w:sz w:val="24"/>
          <w:szCs w:val="24"/>
        </w:rPr>
        <w:t>.</w:t>
      </w:r>
      <w:r w:rsidR="00674605" w:rsidRPr="00F96C06">
        <w:rPr>
          <w:rFonts w:ascii="Times New Roman" w:hAnsi="Times New Roman" w:cs="Times New Roman"/>
          <w:sz w:val="24"/>
          <w:szCs w:val="24"/>
        </w:rPr>
        <w:t>C</w:t>
      </w:r>
      <w:r w:rsidR="00A3444A" w:rsidRPr="00F96C06">
        <w:rPr>
          <w:rFonts w:ascii="Times New Roman" w:hAnsi="Times New Roman" w:cs="Times New Roman"/>
          <w:sz w:val="24"/>
          <w:szCs w:val="24"/>
        </w:rPr>
        <w:t>.</w:t>
      </w:r>
      <w:r w:rsidR="00674605" w:rsidRPr="00F96C06">
        <w:rPr>
          <w:rFonts w:ascii="Times New Roman" w:hAnsi="Times New Roman" w:cs="Times New Roman"/>
          <w:sz w:val="24"/>
          <w:szCs w:val="24"/>
        </w:rPr>
        <w:t xml:space="preserve"> §78d-1(a), (b).  One former SEC staff member thought a delegation system could </w:t>
      </w:r>
      <w:r w:rsidR="006C7E0F" w:rsidRPr="00F96C06">
        <w:rPr>
          <w:rFonts w:ascii="Times New Roman" w:hAnsi="Times New Roman" w:cs="Times New Roman"/>
          <w:sz w:val="24"/>
          <w:szCs w:val="24"/>
        </w:rPr>
        <w:t>work but</w:t>
      </w:r>
      <w:r w:rsidR="00674605" w:rsidRPr="00F96C06">
        <w:rPr>
          <w:rFonts w:ascii="Times New Roman" w:hAnsi="Times New Roman" w:cs="Times New Roman"/>
          <w:sz w:val="24"/>
          <w:szCs w:val="24"/>
        </w:rPr>
        <w:t xml:space="preserve"> suggested that the staff should obtain approval from a duty commissioner in routine cases rather than from the full Commission. SEC 5.</w:t>
      </w:r>
    </w:p>
  </w:footnote>
  <w:footnote w:id="181">
    <w:p w14:paraId="14B9ED0B" w14:textId="60D718B6" w:rsidR="004D6ED8" w:rsidRPr="00F96C06" w:rsidRDefault="004D6ED8" w:rsidP="004D6E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2, </w:t>
      </w:r>
      <w:r w:rsidR="00444689" w:rsidRPr="00F96C06">
        <w:rPr>
          <w:rFonts w:ascii="Times New Roman" w:hAnsi="Times New Roman" w:cs="Times New Roman"/>
          <w:sz w:val="24"/>
          <w:szCs w:val="24"/>
        </w:rPr>
        <w:t>3, 4</w:t>
      </w:r>
      <w:r w:rsidRPr="00F96C06">
        <w:rPr>
          <w:rFonts w:ascii="Times New Roman" w:hAnsi="Times New Roman" w:cs="Times New Roman"/>
          <w:sz w:val="24"/>
          <w:szCs w:val="24"/>
        </w:rPr>
        <w:t>, 6</w:t>
      </w:r>
      <w:r w:rsidR="00AF7DD6" w:rsidRPr="00F96C06">
        <w:rPr>
          <w:rFonts w:ascii="Times New Roman" w:hAnsi="Times New Roman" w:cs="Times New Roman"/>
          <w:sz w:val="24"/>
          <w:szCs w:val="24"/>
        </w:rPr>
        <w:t xml:space="preserve">, </w:t>
      </w:r>
      <w:r w:rsidR="00AF2DB5" w:rsidRPr="00F96C06">
        <w:rPr>
          <w:rFonts w:ascii="Times New Roman" w:hAnsi="Times New Roman" w:cs="Times New Roman"/>
          <w:sz w:val="24"/>
          <w:szCs w:val="24"/>
        </w:rPr>
        <w:t>8.</w:t>
      </w:r>
      <w:r w:rsidR="00444689" w:rsidRPr="00F96C06">
        <w:rPr>
          <w:rFonts w:ascii="Times New Roman" w:hAnsi="Times New Roman" w:cs="Times New Roman"/>
          <w:sz w:val="24"/>
          <w:szCs w:val="24"/>
        </w:rPr>
        <w:t xml:space="preserve">  </w:t>
      </w:r>
    </w:p>
  </w:footnote>
  <w:footnote w:id="182">
    <w:p w14:paraId="49E3547C" w14:textId="0B74DA99" w:rsidR="008673B1" w:rsidRPr="00F96C06" w:rsidRDefault="008673B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FERC 5. </w:t>
      </w:r>
    </w:p>
  </w:footnote>
  <w:footnote w:id="183">
    <w:p w14:paraId="4FE11BD1" w14:textId="518A0DBE" w:rsidR="004D6ED8" w:rsidRPr="00F96C06" w:rsidRDefault="004D6E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3</w:t>
      </w:r>
      <w:r w:rsidR="005201AD" w:rsidRPr="00F96C06">
        <w:rPr>
          <w:rFonts w:ascii="Times New Roman" w:hAnsi="Times New Roman" w:cs="Times New Roman"/>
          <w:sz w:val="24"/>
          <w:szCs w:val="24"/>
        </w:rPr>
        <w:t xml:space="preserve">.  FTC 4. </w:t>
      </w:r>
    </w:p>
  </w:footnote>
  <w:footnote w:id="184">
    <w:p w14:paraId="190FFDD3" w14:textId="17BCDC89" w:rsidR="004D6ED8" w:rsidRPr="00F96C06" w:rsidRDefault="004D6E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4</w:t>
      </w:r>
      <w:r w:rsidR="001829FD" w:rsidRPr="00F96C06">
        <w:rPr>
          <w:rFonts w:ascii="Times New Roman" w:hAnsi="Times New Roman" w:cs="Times New Roman"/>
          <w:sz w:val="24"/>
          <w:szCs w:val="24"/>
        </w:rPr>
        <w:t xml:space="preserve">.  The sentinel effect is discussed in text </w:t>
      </w:r>
      <w:r w:rsidR="0012321C" w:rsidRPr="00F96C06">
        <w:rPr>
          <w:rFonts w:ascii="Times New Roman" w:hAnsi="Times New Roman" w:cs="Times New Roman"/>
          <w:sz w:val="24"/>
          <w:szCs w:val="24"/>
        </w:rPr>
        <w:t>preceding note 10</w:t>
      </w:r>
      <w:r w:rsidR="00BF4C72" w:rsidRPr="00F96C06">
        <w:rPr>
          <w:rFonts w:ascii="Times New Roman" w:hAnsi="Times New Roman" w:cs="Times New Roman"/>
          <w:sz w:val="24"/>
          <w:szCs w:val="24"/>
        </w:rPr>
        <w:t>7</w:t>
      </w:r>
      <w:r w:rsidR="001829FD" w:rsidRPr="00F96C06">
        <w:rPr>
          <w:rFonts w:ascii="Times New Roman" w:hAnsi="Times New Roman" w:cs="Times New Roman"/>
          <w:sz w:val="24"/>
          <w:szCs w:val="24"/>
        </w:rPr>
        <w:t>.</w:t>
      </w:r>
    </w:p>
  </w:footnote>
  <w:footnote w:id="185">
    <w:p w14:paraId="2734E2B3" w14:textId="3C92467D" w:rsidR="004D6ED8" w:rsidRPr="00F96C06" w:rsidRDefault="004D6ED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787893" w:rsidRPr="00F96C06">
        <w:rPr>
          <w:rFonts w:ascii="Times New Roman" w:hAnsi="Times New Roman" w:cs="Times New Roman"/>
          <w:i/>
          <w:iCs/>
          <w:sz w:val="24"/>
          <w:szCs w:val="24"/>
        </w:rPr>
        <w:t>See</w:t>
      </w:r>
      <w:r w:rsidR="00787893" w:rsidRPr="00F96C06">
        <w:rPr>
          <w:rFonts w:ascii="Times New Roman" w:hAnsi="Times New Roman" w:cs="Times New Roman"/>
          <w:sz w:val="24"/>
          <w:szCs w:val="24"/>
        </w:rPr>
        <w:t xml:space="preserve"> Vollmer, </w:t>
      </w:r>
      <w:r w:rsidR="00E151F7" w:rsidRPr="00F96C06">
        <w:rPr>
          <w:rFonts w:ascii="Times New Roman" w:hAnsi="Times New Roman" w:cs="Times New Roman"/>
          <w:i/>
          <w:iCs/>
          <w:sz w:val="24"/>
          <w:szCs w:val="24"/>
        </w:rPr>
        <w:t>supra</w:t>
      </w:r>
      <w:r w:rsidR="00E151F7" w:rsidRPr="00F96C06">
        <w:rPr>
          <w:rFonts w:ascii="Times New Roman" w:hAnsi="Times New Roman" w:cs="Times New Roman"/>
          <w:sz w:val="24"/>
          <w:szCs w:val="24"/>
        </w:rPr>
        <w:t xml:space="preserve"> note </w:t>
      </w:r>
      <w:r w:rsidR="003B2D47" w:rsidRPr="00F96C06">
        <w:rPr>
          <w:rFonts w:ascii="Times New Roman" w:hAnsi="Times New Roman" w:cs="Times New Roman"/>
          <w:sz w:val="24"/>
          <w:szCs w:val="24"/>
        </w:rPr>
        <w:t>11</w:t>
      </w:r>
      <w:r w:rsidR="004A676C" w:rsidRPr="00F96C06">
        <w:rPr>
          <w:rFonts w:ascii="Times New Roman" w:hAnsi="Times New Roman" w:cs="Times New Roman"/>
          <w:sz w:val="24"/>
          <w:szCs w:val="24"/>
        </w:rPr>
        <w:t>0</w:t>
      </w:r>
      <w:r w:rsidR="00E151F7" w:rsidRPr="00F96C06">
        <w:rPr>
          <w:rFonts w:ascii="Times New Roman" w:hAnsi="Times New Roman" w:cs="Times New Roman"/>
          <w:sz w:val="24"/>
          <w:szCs w:val="24"/>
        </w:rPr>
        <w:t xml:space="preserve">. Vollmer </w:t>
      </w:r>
      <w:r w:rsidR="001829FD" w:rsidRPr="00F96C06">
        <w:rPr>
          <w:rFonts w:ascii="Times New Roman" w:hAnsi="Times New Roman" w:cs="Times New Roman"/>
          <w:sz w:val="24"/>
          <w:szCs w:val="24"/>
        </w:rPr>
        <w:t xml:space="preserve">also </w:t>
      </w:r>
      <w:r w:rsidR="00E151F7" w:rsidRPr="00F96C06">
        <w:rPr>
          <w:rFonts w:ascii="Times New Roman" w:hAnsi="Times New Roman" w:cs="Times New Roman"/>
          <w:sz w:val="24"/>
          <w:szCs w:val="24"/>
        </w:rPr>
        <w:t xml:space="preserve">argued that due process is violated when </w:t>
      </w:r>
      <w:r w:rsidR="00F26AF9" w:rsidRPr="00F96C06">
        <w:rPr>
          <w:rFonts w:ascii="Times New Roman" w:hAnsi="Times New Roman" w:cs="Times New Roman"/>
          <w:sz w:val="24"/>
          <w:szCs w:val="24"/>
        </w:rPr>
        <w:t xml:space="preserve">a member </w:t>
      </w:r>
      <w:r w:rsidR="00E151F7" w:rsidRPr="00F96C06">
        <w:rPr>
          <w:rFonts w:ascii="Times New Roman" w:hAnsi="Times New Roman" w:cs="Times New Roman"/>
          <w:sz w:val="24"/>
          <w:szCs w:val="24"/>
        </w:rPr>
        <w:t>vote</w:t>
      </w:r>
      <w:r w:rsidR="00F26AF9" w:rsidRPr="00F96C06">
        <w:rPr>
          <w:rFonts w:ascii="Times New Roman" w:hAnsi="Times New Roman" w:cs="Times New Roman"/>
          <w:sz w:val="24"/>
          <w:szCs w:val="24"/>
        </w:rPr>
        <w:t>s</w:t>
      </w:r>
      <w:r w:rsidR="00E151F7" w:rsidRPr="00F96C06">
        <w:rPr>
          <w:rFonts w:ascii="Times New Roman" w:hAnsi="Times New Roman" w:cs="Times New Roman"/>
          <w:sz w:val="24"/>
          <w:szCs w:val="24"/>
        </w:rPr>
        <w:t xml:space="preserve"> on a case in which the</w:t>
      </w:r>
      <w:r w:rsidR="00F26AF9" w:rsidRPr="00F96C06">
        <w:rPr>
          <w:rFonts w:ascii="Times New Roman" w:hAnsi="Times New Roman" w:cs="Times New Roman"/>
          <w:sz w:val="24"/>
          <w:szCs w:val="24"/>
        </w:rPr>
        <w:t xml:space="preserve"> member </w:t>
      </w:r>
      <w:r w:rsidR="00E151F7" w:rsidRPr="00F96C06">
        <w:rPr>
          <w:rFonts w:ascii="Times New Roman" w:hAnsi="Times New Roman" w:cs="Times New Roman"/>
          <w:sz w:val="24"/>
          <w:szCs w:val="24"/>
        </w:rPr>
        <w:t xml:space="preserve">greenlighted prosecution. </w:t>
      </w:r>
      <w:r w:rsidR="001829FD" w:rsidRPr="00F96C06">
        <w:rPr>
          <w:rFonts w:ascii="Times New Roman" w:hAnsi="Times New Roman" w:cs="Times New Roman"/>
          <w:sz w:val="24"/>
          <w:szCs w:val="24"/>
        </w:rPr>
        <w:t>Part I</w:t>
      </w:r>
      <w:r w:rsidR="003B2D47" w:rsidRPr="00F96C06">
        <w:rPr>
          <w:rFonts w:ascii="Times New Roman" w:hAnsi="Times New Roman" w:cs="Times New Roman"/>
          <w:sz w:val="24"/>
          <w:szCs w:val="24"/>
        </w:rPr>
        <w:t>V</w:t>
      </w:r>
      <w:r w:rsidR="001829FD" w:rsidRPr="00F96C06">
        <w:rPr>
          <w:rFonts w:ascii="Times New Roman" w:hAnsi="Times New Roman" w:cs="Times New Roman"/>
          <w:sz w:val="24"/>
          <w:szCs w:val="24"/>
        </w:rPr>
        <w:t xml:space="preserve">. A. </w:t>
      </w:r>
    </w:p>
  </w:footnote>
  <w:footnote w:id="186">
    <w:p w14:paraId="4F61D057" w14:textId="44AE5EB5" w:rsidR="00CF01F8" w:rsidRPr="00F96C06" w:rsidRDefault="00CF01F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2, 6, 7</w:t>
      </w:r>
      <w:r w:rsidR="002618C5" w:rsidRPr="00F96C06">
        <w:rPr>
          <w:rFonts w:ascii="Times New Roman" w:hAnsi="Times New Roman" w:cs="Times New Roman"/>
          <w:sz w:val="24"/>
          <w:szCs w:val="24"/>
        </w:rPr>
        <w:t>.</w:t>
      </w:r>
      <w:r w:rsidR="00776F0E" w:rsidRPr="00F96C06">
        <w:rPr>
          <w:rFonts w:ascii="Times New Roman" w:hAnsi="Times New Roman" w:cs="Times New Roman"/>
          <w:sz w:val="24"/>
          <w:szCs w:val="24"/>
        </w:rPr>
        <w:t xml:space="preserve"> FERC 5,</w:t>
      </w:r>
      <w:r w:rsidR="001829FD" w:rsidRPr="00F96C06">
        <w:rPr>
          <w:rFonts w:ascii="Times New Roman" w:hAnsi="Times New Roman" w:cs="Times New Roman"/>
          <w:sz w:val="24"/>
          <w:szCs w:val="24"/>
        </w:rPr>
        <w:t xml:space="preserve"> </w:t>
      </w:r>
      <w:r w:rsidR="00776F0E" w:rsidRPr="00F96C06">
        <w:rPr>
          <w:rFonts w:ascii="Times New Roman" w:hAnsi="Times New Roman" w:cs="Times New Roman"/>
          <w:sz w:val="24"/>
          <w:szCs w:val="24"/>
        </w:rPr>
        <w:t>6</w:t>
      </w:r>
      <w:r w:rsidR="002618C5" w:rsidRPr="00F96C06">
        <w:rPr>
          <w:rFonts w:ascii="Times New Roman" w:hAnsi="Times New Roman" w:cs="Times New Roman"/>
          <w:sz w:val="24"/>
          <w:szCs w:val="24"/>
        </w:rPr>
        <w:t>.</w:t>
      </w:r>
      <w:r w:rsidR="00776F0E" w:rsidRPr="00F96C06">
        <w:rPr>
          <w:rFonts w:ascii="Times New Roman" w:hAnsi="Times New Roman" w:cs="Times New Roman"/>
          <w:sz w:val="24"/>
          <w:szCs w:val="24"/>
        </w:rPr>
        <w:t xml:space="preserve"> </w:t>
      </w:r>
      <w:r w:rsidR="0025153D" w:rsidRPr="00F96C06">
        <w:rPr>
          <w:rFonts w:ascii="Times New Roman" w:hAnsi="Times New Roman" w:cs="Times New Roman"/>
          <w:sz w:val="24"/>
          <w:szCs w:val="24"/>
        </w:rPr>
        <w:t xml:space="preserve"> FTC 1 to 5</w:t>
      </w:r>
      <w:r w:rsidR="002618C5" w:rsidRPr="00F96C06">
        <w:rPr>
          <w:rFonts w:ascii="Times New Roman" w:hAnsi="Times New Roman" w:cs="Times New Roman"/>
          <w:sz w:val="24"/>
          <w:szCs w:val="24"/>
        </w:rPr>
        <w:t>.</w:t>
      </w:r>
      <w:r w:rsidR="0025153D" w:rsidRPr="00F96C06">
        <w:rPr>
          <w:rFonts w:ascii="Times New Roman" w:hAnsi="Times New Roman" w:cs="Times New Roman"/>
          <w:sz w:val="24"/>
          <w:szCs w:val="24"/>
        </w:rPr>
        <w:t xml:space="preserve"> </w:t>
      </w:r>
      <w:r w:rsidR="004C7D3E" w:rsidRPr="00F96C06">
        <w:rPr>
          <w:rFonts w:ascii="Times New Roman" w:hAnsi="Times New Roman" w:cs="Times New Roman"/>
          <w:sz w:val="24"/>
          <w:szCs w:val="24"/>
        </w:rPr>
        <w:t>FCC</w:t>
      </w:r>
      <w:r w:rsidR="004A676C" w:rsidRPr="00F96C06">
        <w:rPr>
          <w:rFonts w:ascii="Times New Roman" w:hAnsi="Times New Roman" w:cs="Times New Roman"/>
          <w:sz w:val="24"/>
          <w:szCs w:val="24"/>
        </w:rPr>
        <w:t xml:space="preserve"> </w:t>
      </w:r>
      <w:r w:rsidR="004C7D3E" w:rsidRPr="00F96C06">
        <w:rPr>
          <w:rFonts w:ascii="Times New Roman" w:hAnsi="Times New Roman" w:cs="Times New Roman"/>
          <w:sz w:val="24"/>
          <w:szCs w:val="24"/>
        </w:rPr>
        <w:t>2.</w:t>
      </w:r>
    </w:p>
  </w:footnote>
  <w:footnote w:id="187">
    <w:p w14:paraId="484059C6" w14:textId="29FBE450" w:rsidR="00597060" w:rsidRPr="00F96C06" w:rsidRDefault="00597060" w:rsidP="0059706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1. </w:t>
      </w:r>
    </w:p>
  </w:footnote>
  <w:footnote w:id="188">
    <w:p w14:paraId="39E353F3" w14:textId="6AE83DD7" w:rsidR="004373CC" w:rsidRPr="00F96C06" w:rsidRDefault="004373C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6C2000" w:rsidRPr="00F96C06">
        <w:rPr>
          <w:rFonts w:ascii="Times New Roman" w:hAnsi="Times New Roman" w:cs="Times New Roman"/>
          <w:sz w:val="24"/>
          <w:szCs w:val="24"/>
        </w:rPr>
        <w:t xml:space="preserve">FTC 3, SEC 6. </w:t>
      </w:r>
    </w:p>
  </w:footnote>
  <w:footnote w:id="189">
    <w:p w14:paraId="376392CB" w14:textId="02E23B0D" w:rsidR="00597060" w:rsidRPr="00F96C06" w:rsidRDefault="00597060" w:rsidP="0059706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6. FTC </w:t>
      </w:r>
      <w:r w:rsidR="00E151F7" w:rsidRPr="00F96C06">
        <w:rPr>
          <w:rFonts w:ascii="Times New Roman" w:hAnsi="Times New Roman" w:cs="Times New Roman"/>
          <w:sz w:val="24"/>
          <w:szCs w:val="24"/>
        </w:rPr>
        <w:t xml:space="preserve">4, </w:t>
      </w:r>
      <w:r w:rsidRPr="00F96C06">
        <w:rPr>
          <w:rFonts w:ascii="Times New Roman" w:hAnsi="Times New Roman" w:cs="Times New Roman"/>
          <w:sz w:val="24"/>
          <w:szCs w:val="24"/>
        </w:rPr>
        <w:t>5</w:t>
      </w:r>
      <w:r w:rsidR="003B2D47" w:rsidRPr="00F96C06">
        <w:rPr>
          <w:rFonts w:ascii="Times New Roman" w:hAnsi="Times New Roman" w:cs="Times New Roman"/>
          <w:sz w:val="24"/>
          <w:szCs w:val="24"/>
        </w:rPr>
        <w:t>.</w:t>
      </w:r>
    </w:p>
  </w:footnote>
  <w:footnote w:id="190">
    <w:p w14:paraId="1514D41E" w14:textId="220D1F64" w:rsidR="00217376" w:rsidRPr="00F96C06" w:rsidRDefault="00217376" w:rsidP="0021737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05190C" w:rsidRPr="00F96C06">
        <w:rPr>
          <w:rFonts w:ascii="Times New Roman" w:hAnsi="Times New Roman" w:cs="Times New Roman"/>
          <w:sz w:val="24"/>
          <w:szCs w:val="24"/>
        </w:rPr>
        <w:t xml:space="preserve">Part II. E. </w:t>
      </w:r>
    </w:p>
  </w:footnote>
  <w:footnote w:id="191">
    <w:p w14:paraId="62470192" w14:textId="4A217300" w:rsidR="00997FFB" w:rsidRPr="00F96C06" w:rsidRDefault="00997FFB" w:rsidP="0021737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C06">
        <w:rPr>
          <w:rStyle w:val="FootnoteReference"/>
        </w:rPr>
        <w:footnoteRef/>
      </w:r>
      <w:r w:rsidRPr="00F96C06">
        <w:t xml:space="preserve"> Jonathan D. Rosenblum, </w:t>
      </w:r>
      <w:r w:rsidR="00217376" w:rsidRPr="00F96C06">
        <w:rPr>
          <w:i/>
          <w:iCs/>
        </w:rPr>
        <w:t xml:space="preserve">A New Look at the General Counsel’s Unreviewable Discretion Not to Issue a Complaint under the NLRA, </w:t>
      </w:r>
      <w:r w:rsidR="00217376" w:rsidRPr="00F96C06">
        <w:t xml:space="preserve">86 </w:t>
      </w:r>
      <w:r w:rsidR="00217376" w:rsidRPr="00F96C06">
        <w:rPr>
          <w:smallCaps/>
        </w:rPr>
        <w:t>Yale L.J.</w:t>
      </w:r>
      <w:r w:rsidR="00217376" w:rsidRPr="00F96C06">
        <w:t xml:space="preserve"> 2349 (1977);</w:t>
      </w:r>
      <w:r w:rsidR="00916D6C" w:rsidRPr="00F96C06">
        <w:t xml:space="preserve"> Scher, </w:t>
      </w:r>
      <w:r w:rsidR="004A676C" w:rsidRPr="00F96C06">
        <w:rPr>
          <w:i/>
          <w:iCs/>
        </w:rPr>
        <w:t xml:space="preserve">supra </w:t>
      </w:r>
      <w:r w:rsidR="00916D6C" w:rsidRPr="00F96C06">
        <w:t>note 17</w:t>
      </w:r>
      <w:r w:rsidR="004A676C" w:rsidRPr="00F96C06">
        <w:t>8</w:t>
      </w:r>
      <w:r w:rsidR="00217376" w:rsidRPr="00F96C06">
        <w:t xml:space="preserve"> (discussing 1947 politics of Taft-Hartley Act adoption). </w:t>
      </w:r>
    </w:p>
  </w:footnote>
  <w:footnote w:id="192">
    <w:p w14:paraId="3117EC75" w14:textId="078C19BF" w:rsidR="00997FFB" w:rsidRPr="00F96C06" w:rsidRDefault="00997FFB" w:rsidP="00997FFB">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Calvani,</w:t>
      </w:r>
      <w:r w:rsidR="002C4B91" w:rsidRPr="00F96C06">
        <w:rPr>
          <w:rFonts w:ascii="Times New Roman" w:hAnsi="Times New Roman" w:cs="Times New Roman"/>
          <w:sz w:val="24"/>
          <w:szCs w:val="24"/>
        </w:rPr>
        <w:t xml:space="preserve"> </w:t>
      </w:r>
      <w:r w:rsidR="002C4B91" w:rsidRPr="00F96C06">
        <w:rPr>
          <w:rFonts w:ascii="Times New Roman" w:hAnsi="Times New Roman" w:cs="Times New Roman"/>
          <w:i/>
          <w:iCs/>
          <w:sz w:val="24"/>
          <w:szCs w:val="24"/>
        </w:rPr>
        <w:t>supra</w:t>
      </w:r>
      <w:r w:rsidR="002C4B91"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note </w:t>
      </w:r>
      <w:r w:rsidR="003534C0" w:rsidRPr="00F96C06">
        <w:rPr>
          <w:rFonts w:ascii="Times New Roman" w:hAnsi="Times New Roman" w:cs="Times New Roman"/>
          <w:sz w:val="24"/>
          <w:szCs w:val="24"/>
        </w:rPr>
        <w:t>24</w:t>
      </w:r>
      <w:r w:rsidRPr="00F96C06">
        <w:rPr>
          <w:rFonts w:ascii="Times New Roman" w:hAnsi="Times New Roman" w:cs="Times New Roman"/>
          <w:sz w:val="24"/>
          <w:szCs w:val="24"/>
        </w:rPr>
        <w:t xml:space="preserve"> at 206-07; Verkuil,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3B2D47" w:rsidRPr="00F96C06">
        <w:rPr>
          <w:rFonts w:ascii="Times New Roman" w:hAnsi="Times New Roman" w:cs="Times New Roman"/>
          <w:sz w:val="24"/>
          <w:szCs w:val="24"/>
        </w:rPr>
        <w:t>9</w:t>
      </w:r>
      <w:r w:rsidR="004A676C" w:rsidRPr="00F96C06">
        <w:rPr>
          <w:rFonts w:ascii="Times New Roman" w:hAnsi="Times New Roman" w:cs="Times New Roman"/>
          <w:sz w:val="24"/>
          <w:szCs w:val="24"/>
        </w:rPr>
        <w:t>7</w:t>
      </w:r>
      <w:r w:rsidR="003B2D47" w:rsidRPr="00F96C06">
        <w:rPr>
          <w:rFonts w:ascii="Times New Roman" w:hAnsi="Times New Roman" w:cs="Times New Roman"/>
          <w:sz w:val="24"/>
          <w:szCs w:val="24"/>
        </w:rPr>
        <w:t xml:space="preserve"> </w:t>
      </w:r>
      <w:r w:rsidRPr="00F96C06">
        <w:rPr>
          <w:rFonts w:ascii="Times New Roman" w:hAnsi="Times New Roman" w:cs="Times New Roman"/>
          <w:sz w:val="24"/>
          <w:szCs w:val="24"/>
        </w:rPr>
        <w:t>at 267</w:t>
      </w:r>
      <w:r w:rsidR="0005190C"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002C4B91" w:rsidRPr="00F96C06">
        <w:rPr>
          <w:rFonts w:ascii="Times New Roman" w:hAnsi="Times New Roman" w:cs="Times New Roman"/>
          <w:sz w:val="24"/>
          <w:szCs w:val="24"/>
        </w:rPr>
        <w:t xml:space="preserve">SEC Task Force, </w:t>
      </w:r>
      <w:r w:rsidR="002C4B91" w:rsidRPr="00F96C06">
        <w:rPr>
          <w:rFonts w:ascii="Times New Roman" w:hAnsi="Times New Roman" w:cs="Times New Roman"/>
          <w:i/>
          <w:iCs/>
          <w:sz w:val="24"/>
          <w:szCs w:val="24"/>
        </w:rPr>
        <w:t xml:space="preserve">supra </w:t>
      </w:r>
      <w:r w:rsidR="002C4B91" w:rsidRPr="00F96C06">
        <w:rPr>
          <w:rFonts w:ascii="Times New Roman" w:hAnsi="Times New Roman" w:cs="Times New Roman"/>
          <w:sz w:val="24"/>
          <w:szCs w:val="24"/>
        </w:rPr>
        <w:t>note 110 at 1737.</w:t>
      </w:r>
    </w:p>
  </w:footnote>
  <w:footnote w:id="193">
    <w:p w14:paraId="0698D685" w14:textId="4F69449B" w:rsidR="00041129" w:rsidRPr="00F96C06" w:rsidRDefault="00041129">
      <w:pPr>
        <w:pStyle w:val="FootnoteText"/>
        <w:rPr>
          <w:rFonts w:ascii="Times New Roman" w:hAnsi="Times New Roman" w:cs="Times New Roman"/>
          <w:i/>
          <w:iCs/>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2 and 3</w:t>
      </w:r>
      <w:r w:rsidR="00C16B75" w:rsidRPr="00F96C06">
        <w:rPr>
          <w:rFonts w:ascii="Times New Roman" w:hAnsi="Times New Roman" w:cs="Times New Roman"/>
          <w:sz w:val="24"/>
          <w:szCs w:val="24"/>
        </w:rPr>
        <w:t>.</w:t>
      </w:r>
      <w:r w:rsidRPr="00F96C06">
        <w:rPr>
          <w:rFonts w:ascii="Times New Roman" w:hAnsi="Times New Roman" w:cs="Times New Roman"/>
          <w:sz w:val="24"/>
          <w:szCs w:val="24"/>
        </w:rPr>
        <w:t xml:space="preserve"> </w:t>
      </w:r>
      <w:r w:rsidR="00A4259C" w:rsidRPr="00F96C06">
        <w:rPr>
          <w:rFonts w:ascii="Times New Roman" w:hAnsi="Times New Roman" w:cs="Times New Roman"/>
          <w:sz w:val="24"/>
          <w:szCs w:val="24"/>
        </w:rPr>
        <w:t xml:space="preserve">These approvals are usually secured through notational voting, not at an in-person meeting. </w:t>
      </w:r>
      <w:r w:rsidR="00B511A4" w:rsidRPr="00F96C06">
        <w:rPr>
          <w:rFonts w:ascii="Times New Roman" w:hAnsi="Times New Roman" w:cs="Times New Roman"/>
          <w:i/>
          <w:iCs/>
          <w:sz w:val="24"/>
          <w:szCs w:val="24"/>
        </w:rPr>
        <w:t xml:space="preserve">See </w:t>
      </w:r>
      <w:r w:rsidR="00B511A4" w:rsidRPr="00F96C06">
        <w:rPr>
          <w:rFonts w:ascii="Times New Roman" w:hAnsi="Times New Roman" w:cs="Times New Roman"/>
          <w:sz w:val="24"/>
          <w:szCs w:val="24"/>
        </w:rPr>
        <w:t xml:space="preserve">text at </w:t>
      </w:r>
      <w:r w:rsidR="00B511A4" w:rsidRPr="00F96C06">
        <w:rPr>
          <w:rFonts w:ascii="Times New Roman" w:hAnsi="Times New Roman" w:cs="Times New Roman"/>
          <w:i/>
          <w:iCs/>
          <w:sz w:val="24"/>
          <w:szCs w:val="24"/>
        </w:rPr>
        <w:t xml:space="preserve">supra </w:t>
      </w:r>
      <w:r w:rsidR="00B511A4" w:rsidRPr="00F96C06">
        <w:rPr>
          <w:rFonts w:ascii="Times New Roman" w:hAnsi="Times New Roman" w:cs="Times New Roman"/>
          <w:sz w:val="24"/>
          <w:szCs w:val="24"/>
        </w:rPr>
        <w:t>notes 69-71</w:t>
      </w:r>
      <w:r w:rsidR="00CF0892" w:rsidRPr="00F96C06">
        <w:rPr>
          <w:rFonts w:ascii="Times New Roman" w:hAnsi="Times New Roman" w:cs="Times New Roman"/>
          <w:sz w:val="24"/>
          <w:szCs w:val="24"/>
        </w:rPr>
        <w:t>.</w:t>
      </w:r>
      <w:r w:rsidR="00B511A4" w:rsidRPr="00F96C06">
        <w:rPr>
          <w:rFonts w:ascii="Times New Roman" w:hAnsi="Times New Roman" w:cs="Times New Roman"/>
          <w:i/>
          <w:iCs/>
          <w:sz w:val="24"/>
          <w:szCs w:val="24"/>
        </w:rPr>
        <w:t xml:space="preserve"> </w:t>
      </w:r>
    </w:p>
  </w:footnote>
  <w:footnote w:id="194">
    <w:p w14:paraId="0B5598B9" w14:textId="4C2AA250" w:rsidR="007577BA" w:rsidRPr="00F96C06" w:rsidRDefault="007577B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Prior to the Taft Hartley Act, the Board reviewed regional director decisions to charge or not charge </w:t>
      </w:r>
      <w:r w:rsidR="00996BC5" w:rsidRPr="00F96C06">
        <w:rPr>
          <w:rFonts w:ascii="Times New Roman" w:hAnsi="Times New Roman" w:cs="Times New Roman"/>
          <w:sz w:val="24"/>
          <w:szCs w:val="24"/>
        </w:rPr>
        <w:t xml:space="preserve">only </w:t>
      </w:r>
      <w:r w:rsidRPr="00F96C06">
        <w:rPr>
          <w:rFonts w:ascii="Times New Roman" w:hAnsi="Times New Roman" w:cs="Times New Roman"/>
          <w:sz w:val="24"/>
          <w:szCs w:val="24"/>
        </w:rPr>
        <w:t xml:space="preserve">in cases involving important or unique </w:t>
      </w:r>
      <w:r w:rsidR="00996BC5" w:rsidRPr="00F96C06">
        <w:rPr>
          <w:rFonts w:ascii="Times New Roman" w:hAnsi="Times New Roman" w:cs="Times New Roman"/>
          <w:sz w:val="24"/>
          <w:szCs w:val="24"/>
        </w:rPr>
        <w:t xml:space="preserve">legal issues. </w:t>
      </w:r>
      <w:r w:rsidRPr="00F96C06">
        <w:rPr>
          <w:rFonts w:ascii="Times New Roman" w:hAnsi="Times New Roman" w:cs="Times New Roman"/>
          <w:sz w:val="24"/>
          <w:szCs w:val="24"/>
        </w:rPr>
        <w:t>One morning a week of the Board members’</w:t>
      </w:r>
      <w:r w:rsidR="00C16B75"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time was spent in considering questions relating to the issuance of complaints.  Scher, </w:t>
      </w:r>
      <w:r w:rsidR="00572841" w:rsidRPr="00F96C06">
        <w:rPr>
          <w:rFonts w:ascii="Times New Roman" w:hAnsi="Times New Roman" w:cs="Times New Roman"/>
          <w:i/>
          <w:iCs/>
          <w:sz w:val="24"/>
          <w:szCs w:val="24"/>
        </w:rPr>
        <w:t xml:space="preserve">supra </w:t>
      </w:r>
      <w:r w:rsidRPr="00F96C06">
        <w:rPr>
          <w:rFonts w:ascii="Times New Roman" w:hAnsi="Times New Roman" w:cs="Times New Roman"/>
          <w:sz w:val="24"/>
          <w:szCs w:val="24"/>
        </w:rPr>
        <w:t xml:space="preserve">note </w:t>
      </w:r>
      <w:r w:rsidR="003534C0" w:rsidRPr="00F96C06">
        <w:rPr>
          <w:rFonts w:ascii="Times New Roman" w:hAnsi="Times New Roman" w:cs="Times New Roman"/>
          <w:sz w:val="24"/>
          <w:szCs w:val="24"/>
        </w:rPr>
        <w:t>17</w:t>
      </w:r>
      <w:r w:rsidR="00572841" w:rsidRPr="00F96C06">
        <w:rPr>
          <w:rFonts w:ascii="Times New Roman" w:hAnsi="Times New Roman" w:cs="Times New Roman"/>
          <w:sz w:val="24"/>
          <w:szCs w:val="24"/>
        </w:rPr>
        <w:t>8</w:t>
      </w:r>
      <w:r w:rsidRPr="00F96C06">
        <w:rPr>
          <w:rFonts w:ascii="Times New Roman" w:hAnsi="Times New Roman" w:cs="Times New Roman"/>
          <w:sz w:val="24"/>
          <w:szCs w:val="24"/>
        </w:rPr>
        <w:t xml:space="preserve"> at 331. </w:t>
      </w:r>
    </w:p>
  </w:footnote>
  <w:footnote w:id="195">
    <w:p w14:paraId="1BF9F878" w14:textId="11B7C1BF" w:rsidR="00217376" w:rsidRPr="00F96C06" w:rsidRDefault="00217376" w:rsidP="0021737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3. </w:t>
      </w:r>
      <w:r w:rsidR="007771EB">
        <w:rPr>
          <w:rFonts w:ascii="Times New Roman" w:hAnsi="Times New Roman" w:cs="Times New Roman"/>
          <w:sz w:val="24"/>
          <w:szCs w:val="24"/>
        </w:rPr>
        <w:t xml:space="preserve">See Robert </w:t>
      </w:r>
      <w:r w:rsidR="007771EB">
        <w:rPr>
          <w:rFonts w:ascii="Times New Roman" w:hAnsi="Times New Roman" w:cs="Times New Roman"/>
          <w:sz w:val="24"/>
          <w:szCs w:val="24"/>
        </w:rPr>
        <w:t xml:space="preserve">Iafolla, </w:t>
      </w:r>
      <w:r w:rsidR="007771EB" w:rsidRPr="007771EB">
        <w:rPr>
          <w:rFonts w:ascii="Times New Roman" w:hAnsi="Times New Roman" w:cs="Times New Roman"/>
          <w:i/>
          <w:iCs/>
          <w:sz w:val="24"/>
          <w:szCs w:val="24"/>
        </w:rPr>
        <w:t>Labor Board Goes to Federal Court: 10(j) Injunctions, Explained</w:t>
      </w:r>
      <w:r w:rsidR="007771EB">
        <w:rPr>
          <w:rFonts w:ascii="Times New Roman" w:hAnsi="Times New Roman" w:cs="Times New Roman"/>
          <w:sz w:val="24"/>
          <w:szCs w:val="24"/>
        </w:rPr>
        <w:t xml:space="preserve">, </w:t>
      </w:r>
      <w:r w:rsidR="007771EB" w:rsidRPr="007771EB">
        <w:rPr>
          <w:rFonts w:ascii="Times New Roman" w:hAnsi="Times New Roman" w:cs="Times New Roman"/>
          <w:sz w:val="24"/>
          <w:szCs w:val="24"/>
        </w:rPr>
        <w:t>https://news.bloomberglaw.com/daily-labor-report/labor-board-goes-to-federal-court-10j-injunctions-explained</w:t>
      </w:r>
    </w:p>
  </w:footnote>
  <w:footnote w:id="196">
    <w:p w14:paraId="23C10CFC" w14:textId="03E9AC58" w:rsidR="00DD3A27" w:rsidRPr="00F96C06" w:rsidRDefault="00DD3A27">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w:t>
      </w:r>
      <w:r w:rsidR="0005190C" w:rsidRPr="00F96C06">
        <w:rPr>
          <w:rFonts w:ascii="Times New Roman" w:hAnsi="Times New Roman" w:cs="Times New Roman"/>
          <w:sz w:val="24"/>
          <w:szCs w:val="24"/>
        </w:rPr>
        <w:t xml:space="preserve"> </w:t>
      </w:r>
      <w:r w:rsidRPr="00F96C06">
        <w:rPr>
          <w:rFonts w:ascii="Times New Roman" w:hAnsi="Times New Roman" w:cs="Times New Roman"/>
          <w:sz w:val="24"/>
          <w:szCs w:val="24"/>
        </w:rPr>
        <w:t>2</w:t>
      </w:r>
      <w:r w:rsidR="00041129" w:rsidRPr="00F96C06">
        <w:rPr>
          <w:rFonts w:ascii="Times New Roman" w:hAnsi="Times New Roman" w:cs="Times New Roman"/>
          <w:sz w:val="24"/>
          <w:szCs w:val="24"/>
        </w:rPr>
        <w:t xml:space="preserve">, 3. </w:t>
      </w:r>
    </w:p>
  </w:footnote>
  <w:footnote w:id="197">
    <w:p w14:paraId="0804A1AD" w14:textId="4C89C5AA" w:rsidR="00D25F96" w:rsidRPr="00F96C06" w:rsidRDefault="00D25F96" w:rsidP="00D25F9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 1, 2, 3. </w:t>
      </w:r>
    </w:p>
  </w:footnote>
  <w:footnote w:id="198">
    <w:p w14:paraId="16F08ED0" w14:textId="427760A3" w:rsidR="003D7D3A" w:rsidRPr="00F96C06" w:rsidRDefault="003D7D3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C16B75" w:rsidRPr="00F96C06">
        <w:rPr>
          <w:rFonts w:ascii="Times New Roman" w:hAnsi="Times New Roman" w:cs="Times New Roman"/>
          <w:sz w:val="24"/>
          <w:szCs w:val="24"/>
        </w:rPr>
        <w:t xml:space="preserve">See </w:t>
      </w:r>
      <w:r w:rsidRPr="00F96C06">
        <w:rPr>
          <w:rFonts w:ascii="Times New Roman" w:hAnsi="Times New Roman" w:cs="Times New Roman"/>
          <w:sz w:val="24"/>
          <w:szCs w:val="24"/>
        </w:rPr>
        <w:t xml:space="preserve">Ellement, </w:t>
      </w:r>
      <w:r w:rsidR="00C16B75" w:rsidRPr="00F96C06">
        <w:rPr>
          <w:rFonts w:ascii="Times New Roman" w:hAnsi="Times New Roman" w:cs="Times New Roman"/>
          <w:i/>
          <w:iCs/>
          <w:sz w:val="24"/>
          <w:szCs w:val="24"/>
        </w:rPr>
        <w:t>supra</w:t>
      </w:r>
      <w:r w:rsidR="00C16B75" w:rsidRPr="00F96C06">
        <w:rPr>
          <w:rFonts w:ascii="Times New Roman" w:hAnsi="Times New Roman" w:cs="Times New Roman"/>
          <w:sz w:val="24"/>
          <w:szCs w:val="24"/>
        </w:rPr>
        <w:t xml:space="preserve"> note </w:t>
      </w:r>
      <w:r w:rsidR="003534C0" w:rsidRPr="00F96C06">
        <w:rPr>
          <w:rFonts w:ascii="Times New Roman" w:hAnsi="Times New Roman" w:cs="Times New Roman"/>
          <w:sz w:val="24"/>
          <w:szCs w:val="24"/>
        </w:rPr>
        <w:t>10</w:t>
      </w:r>
      <w:r w:rsidR="002D0AD1" w:rsidRPr="00F96C06">
        <w:rPr>
          <w:rFonts w:ascii="Times New Roman" w:hAnsi="Times New Roman" w:cs="Times New Roman"/>
          <w:sz w:val="24"/>
          <w:szCs w:val="24"/>
        </w:rPr>
        <w:t>5</w:t>
      </w:r>
      <w:r w:rsidR="00C16B75" w:rsidRPr="00F96C06">
        <w:rPr>
          <w:rFonts w:ascii="Times New Roman" w:hAnsi="Times New Roman" w:cs="Times New Roman"/>
          <w:sz w:val="24"/>
          <w:szCs w:val="24"/>
        </w:rPr>
        <w:t xml:space="preserve"> at 492-93, </w:t>
      </w:r>
      <w:r w:rsidRPr="00F96C06">
        <w:rPr>
          <w:rFonts w:ascii="Times New Roman" w:hAnsi="Times New Roman" w:cs="Times New Roman"/>
          <w:sz w:val="24"/>
          <w:szCs w:val="24"/>
        </w:rPr>
        <w:t xml:space="preserve">citing </w:t>
      </w:r>
      <w:r w:rsidR="00C16B75" w:rsidRPr="00F96C06">
        <w:rPr>
          <w:rFonts w:ascii="Times New Roman" w:hAnsi="Times New Roman" w:cs="Times New Roman"/>
          <w:sz w:val="24"/>
          <w:szCs w:val="24"/>
        </w:rPr>
        <w:t xml:space="preserve">the </w:t>
      </w:r>
      <w:r w:rsidRPr="00F96C06">
        <w:rPr>
          <w:rFonts w:ascii="Times New Roman" w:hAnsi="Times New Roman" w:cs="Times New Roman"/>
          <w:sz w:val="24"/>
          <w:szCs w:val="24"/>
        </w:rPr>
        <w:t xml:space="preserve">refusal by the GC to enforce union shop provisions in the 1950s. The Board members could only resort to public criticism of the GC’s decision not to charge these cases. </w:t>
      </w:r>
    </w:p>
  </w:footnote>
  <w:footnote w:id="199">
    <w:p w14:paraId="11938E71" w14:textId="42CA6FBA" w:rsidR="00F35826" w:rsidRPr="00F96C06" w:rsidRDefault="00F3582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 xml:space="preserve">See </w:t>
      </w:r>
      <w:r w:rsidRPr="00F96C06">
        <w:rPr>
          <w:rFonts w:ascii="Times New Roman" w:hAnsi="Times New Roman" w:cs="Times New Roman"/>
          <w:sz w:val="24"/>
          <w:szCs w:val="24"/>
        </w:rPr>
        <w:t>Ellement</w:t>
      </w:r>
      <w:r w:rsidR="00C16B75" w:rsidRPr="00F96C06">
        <w:rPr>
          <w:rFonts w:ascii="Times New Roman" w:hAnsi="Times New Roman" w:cs="Times New Roman"/>
          <w:sz w:val="24"/>
          <w:szCs w:val="24"/>
        </w:rPr>
        <w:t>,</w:t>
      </w:r>
      <w:r w:rsidR="0014112F" w:rsidRPr="00F96C06">
        <w:rPr>
          <w:rFonts w:ascii="Times New Roman" w:hAnsi="Times New Roman" w:cs="Times New Roman"/>
          <w:sz w:val="24"/>
          <w:szCs w:val="24"/>
        </w:rPr>
        <w:t xml:space="preserve"> </w:t>
      </w:r>
      <w:r w:rsidR="002D0AD1" w:rsidRPr="00F96C06">
        <w:rPr>
          <w:rFonts w:ascii="Times New Roman" w:hAnsi="Times New Roman" w:cs="Times New Roman"/>
          <w:i/>
          <w:iCs/>
          <w:sz w:val="24"/>
          <w:szCs w:val="24"/>
        </w:rPr>
        <w:t xml:space="preserve">id. </w:t>
      </w:r>
      <w:r w:rsidRPr="00F96C06">
        <w:rPr>
          <w:rFonts w:ascii="Times New Roman" w:hAnsi="Times New Roman" w:cs="Times New Roman"/>
          <w:sz w:val="24"/>
          <w:szCs w:val="24"/>
        </w:rPr>
        <w:t xml:space="preserve">at 491, describing a set of cases in which the General Counsel in the 1950s believed that unfair labor practices should be prosecuted </w:t>
      </w:r>
      <w:r w:rsidR="0014112F" w:rsidRPr="00F96C06">
        <w:rPr>
          <w:rFonts w:ascii="Times New Roman" w:hAnsi="Times New Roman" w:cs="Times New Roman"/>
          <w:sz w:val="24"/>
          <w:szCs w:val="24"/>
        </w:rPr>
        <w:t xml:space="preserve">even if they </w:t>
      </w:r>
      <w:r w:rsidRPr="00F96C06">
        <w:rPr>
          <w:rFonts w:ascii="Times New Roman" w:hAnsi="Times New Roman" w:cs="Times New Roman"/>
          <w:sz w:val="24"/>
          <w:szCs w:val="24"/>
        </w:rPr>
        <w:t>have only minor effect on interstate commerce</w:t>
      </w:r>
      <w:r w:rsidR="005351C4" w:rsidRPr="00F96C06">
        <w:rPr>
          <w:rFonts w:ascii="Times New Roman" w:hAnsi="Times New Roman" w:cs="Times New Roman"/>
          <w:sz w:val="24"/>
          <w:szCs w:val="24"/>
        </w:rPr>
        <w:t>,</w:t>
      </w:r>
      <w:r w:rsidRPr="00F96C06">
        <w:rPr>
          <w:rFonts w:ascii="Times New Roman" w:hAnsi="Times New Roman" w:cs="Times New Roman"/>
          <w:sz w:val="24"/>
          <w:szCs w:val="24"/>
        </w:rPr>
        <w:t xml:space="preserve"> while the Board members disagreed.  </w:t>
      </w:r>
    </w:p>
  </w:footnote>
  <w:footnote w:id="200">
    <w:p w14:paraId="79F90043" w14:textId="51D7D934" w:rsidR="00360F61" w:rsidRPr="00F96C06" w:rsidRDefault="00360F61">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w:t>
      </w:r>
      <w:r w:rsidR="005411C8"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3. </w:t>
      </w:r>
    </w:p>
  </w:footnote>
  <w:footnote w:id="201">
    <w:p w14:paraId="33CFC9DF" w14:textId="4D67BC8C" w:rsidR="00F35826" w:rsidRPr="00F96C06" w:rsidRDefault="00F3582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Ellement</w:t>
      </w:r>
      <w:r w:rsidR="003534C0" w:rsidRPr="00F96C06">
        <w:rPr>
          <w:rFonts w:ascii="Times New Roman" w:hAnsi="Times New Roman" w:cs="Times New Roman"/>
          <w:sz w:val="24"/>
          <w:szCs w:val="24"/>
        </w:rPr>
        <w:t xml:space="preserve">, </w:t>
      </w:r>
      <w:r w:rsidR="002D0AD1" w:rsidRPr="00F96C06">
        <w:rPr>
          <w:rFonts w:ascii="Times New Roman" w:hAnsi="Times New Roman" w:cs="Times New Roman"/>
          <w:i/>
          <w:iCs/>
          <w:sz w:val="24"/>
          <w:szCs w:val="24"/>
        </w:rPr>
        <w:t xml:space="preserve">supra </w:t>
      </w:r>
      <w:r w:rsidR="003534C0" w:rsidRPr="00F96C06">
        <w:rPr>
          <w:rFonts w:ascii="Times New Roman" w:hAnsi="Times New Roman" w:cs="Times New Roman"/>
          <w:sz w:val="24"/>
          <w:szCs w:val="24"/>
        </w:rPr>
        <w:t>note 10</w:t>
      </w:r>
      <w:r w:rsidR="002D0AD1" w:rsidRPr="00F96C06">
        <w:rPr>
          <w:rFonts w:ascii="Times New Roman" w:hAnsi="Times New Roman" w:cs="Times New Roman"/>
          <w:sz w:val="24"/>
          <w:szCs w:val="24"/>
        </w:rPr>
        <w:t>5</w:t>
      </w:r>
      <w:r w:rsidR="003534C0" w:rsidRPr="00F96C06">
        <w:rPr>
          <w:rFonts w:ascii="Times New Roman" w:hAnsi="Times New Roman" w:cs="Times New Roman"/>
          <w:sz w:val="24"/>
          <w:szCs w:val="24"/>
        </w:rPr>
        <w:t xml:space="preserve"> at</w:t>
      </w:r>
      <w:r w:rsidRPr="00F96C06">
        <w:rPr>
          <w:rFonts w:ascii="Times New Roman" w:hAnsi="Times New Roman" w:cs="Times New Roman"/>
          <w:sz w:val="24"/>
          <w:szCs w:val="24"/>
        </w:rPr>
        <w:t xml:space="preserve"> 493-96</w:t>
      </w:r>
      <w:r w:rsidR="00D45F00" w:rsidRPr="00F96C06">
        <w:rPr>
          <w:rFonts w:ascii="Times New Roman" w:hAnsi="Times New Roman" w:cs="Times New Roman"/>
          <w:sz w:val="24"/>
          <w:szCs w:val="24"/>
        </w:rPr>
        <w:t>; NLRB</w:t>
      </w:r>
      <w:r w:rsidR="005411C8" w:rsidRPr="00F96C06">
        <w:rPr>
          <w:rFonts w:ascii="Times New Roman" w:hAnsi="Times New Roman" w:cs="Times New Roman"/>
          <w:sz w:val="24"/>
          <w:szCs w:val="24"/>
        </w:rPr>
        <w:t xml:space="preserve"> </w:t>
      </w:r>
      <w:r w:rsidR="00D45F00" w:rsidRPr="00F96C06">
        <w:rPr>
          <w:rFonts w:ascii="Times New Roman" w:hAnsi="Times New Roman" w:cs="Times New Roman"/>
          <w:sz w:val="24"/>
          <w:szCs w:val="24"/>
        </w:rPr>
        <w:t>3</w:t>
      </w:r>
    </w:p>
  </w:footnote>
  <w:footnote w:id="202">
    <w:p w14:paraId="4772E387" w14:textId="764CBB27" w:rsidR="00F35826" w:rsidRPr="00F96C06" w:rsidRDefault="00F35826" w:rsidP="00F35826">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NLRB</w:t>
      </w:r>
      <w:r w:rsidR="005201AD" w:rsidRPr="00F96C06">
        <w:rPr>
          <w:rFonts w:ascii="Times New Roman" w:hAnsi="Times New Roman" w:cs="Times New Roman"/>
          <w:sz w:val="24"/>
          <w:szCs w:val="24"/>
        </w:rPr>
        <w:t xml:space="preserve"> </w:t>
      </w:r>
      <w:r w:rsidRPr="00F96C06">
        <w:rPr>
          <w:rFonts w:ascii="Times New Roman" w:hAnsi="Times New Roman" w:cs="Times New Roman"/>
          <w:sz w:val="24"/>
          <w:szCs w:val="24"/>
        </w:rPr>
        <w:t>1</w:t>
      </w:r>
      <w:r w:rsidR="00D45F00" w:rsidRPr="00F96C06">
        <w:rPr>
          <w:rFonts w:ascii="Times New Roman" w:hAnsi="Times New Roman" w:cs="Times New Roman"/>
          <w:sz w:val="24"/>
          <w:szCs w:val="24"/>
        </w:rPr>
        <w:t xml:space="preserve">, 3; </w:t>
      </w:r>
      <w:r w:rsidRPr="00F96C06">
        <w:rPr>
          <w:rFonts w:ascii="Times New Roman" w:hAnsi="Times New Roman" w:cs="Times New Roman"/>
          <w:sz w:val="24"/>
          <w:szCs w:val="24"/>
        </w:rPr>
        <w:t xml:space="preserve"> Ellement</w:t>
      </w:r>
      <w:r w:rsidR="003534C0" w:rsidRPr="00F96C06">
        <w:rPr>
          <w:rFonts w:ascii="Times New Roman" w:hAnsi="Times New Roman" w:cs="Times New Roman"/>
          <w:sz w:val="24"/>
          <w:szCs w:val="24"/>
        </w:rPr>
        <w:t>, note 107 at</w:t>
      </w:r>
      <w:r w:rsidRPr="00F96C06">
        <w:rPr>
          <w:rFonts w:ascii="Times New Roman" w:hAnsi="Times New Roman" w:cs="Times New Roman"/>
          <w:sz w:val="24"/>
          <w:szCs w:val="24"/>
        </w:rPr>
        <w:t xml:space="preserve"> 492-93</w:t>
      </w:r>
    </w:p>
  </w:footnote>
  <w:footnote w:id="203">
    <w:p w14:paraId="3D8A9666" w14:textId="6D91A5B0" w:rsidR="00597060" w:rsidRPr="00F96C06" w:rsidRDefault="00597060" w:rsidP="0059706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FTC</w:t>
      </w:r>
      <w:r w:rsidR="005411C8" w:rsidRPr="00F96C06">
        <w:rPr>
          <w:rFonts w:ascii="Times New Roman" w:hAnsi="Times New Roman" w:cs="Times New Roman"/>
          <w:sz w:val="24"/>
          <w:szCs w:val="24"/>
        </w:rPr>
        <w:t xml:space="preserve"> </w:t>
      </w:r>
      <w:r w:rsidRPr="00F96C06">
        <w:rPr>
          <w:rFonts w:ascii="Times New Roman" w:hAnsi="Times New Roman" w:cs="Times New Roman"/>
          <w:sz w:val="24"/>
          <w:szCs w:val="24"/>
        </w:rPr>
        <w:t>1, 2, 3, 5. SEC 2, 5</w:t>
      </w:r>
      <w:r w:rsidR="004E69C4" w:rsidRPr="00F96C06">
        <w:rPr>
          <w:rFonts w:ascii="Times New Roman" w:hAnsi="Times New Roman" w:cs="Times New Roman"/>
          <w:sz w:val="24"/>
          <w:szCs w:val="24"/>
        </w:rPr>
        <w:t xml:space="preserve"> to </w:t>
      </w:r>
      <w:r w:rsidR="00C92857" w:rsidRPr="00F96C06">
        <w:rPr>
          <w:rFonts w:ascii="Times New Roman" w:hAnsi="Times New Roman" w:cs="Times New Roman"/>
          <w:sz w:val="24"/>
          <w:szCs w:val="24"/>
        </w:rPr>
        <w:t>8</w:t>
      </w:r>
      <w:r w:rsidRPr="00F96C06">
        <w:rPr>
          <w:rFonts w:ascii="Times New Roman" w:hAnsi="Times New Roman" w:cs="Times New Roman"/>
          <w:sz w:val="24"/>
          <w:szCs w:val="24"/>
        </w:rPr>
        <w:t>. SEC 1 was open to the idea</w:t>
      </w:r>
      <w:r w:rsidR="004E69C4" w:rsidRPr="00F96C06">
        <w:rPr>
          <w:rFonts w:ascii="Times New Roman" w:hAnsi="Times New Roman" w:cs="Times New Roman"/>
          <w:sz w:val="24"/>
          <w:szCs w:val="24"/>
        </w:rPr>
        <w:t>,</w:t>
      </w:r>
      <w:r w:rsidRPr="00F96C06">
        <w:rPr>
          <w:rFonts w:ascii="Times New Roman" w:hAnsi="Times New Roman" w:cs="Times New Roman"/>
          <w:sz w:val="24"/>
          <w:szCs w:val="24"/>
        </w:rPr>
        <w:t xml:space="preserve"> but only if </w:t>
      </w:r>
      <w:r w:rsidR="004E69C4" w:rsidRPr="00F96C06">
        <w:rPr>
          <w:rFonts w:ascii="Times New Roman" w:hAnsi="Times New Roman" w:cs="Times New Roman"/>
          <w:sz w:val="24"/>
          <w:szCs w:val="24"/>
        </w:rPr>
        <w:t xml:space="preserve">agency </w:t>
      </w:r>
      <w:r w:rsidRPr="00F96C06">
        <w:rPr>
          <w:rFonts w:ascii="Times New Roman" w:hAnsi="Times New Roman" w:cs="Times New Roman"/>
          <w:sz w:val="24"/>
          <w:szCs w:val="24"/>
        </w:rPr>
        <w:t xml:space="preserve"> heads </w:t>
      </w:r>
      <w:r w:rsidR="004E69C4" w:rsidRPr="00F96C06">
        <w:rPr>
          <w:rFonts w:ascii="Times New Roman" w:hAnsi="Times New Roman" w:cs="Times New Roman"/>
          <w:sz w:val="24"/>
          <w:szCs w:val="24"/>
        </w:rPr>
        <w:t xml:space="preserve">could </w:t>
      </w:r>
      <w:r w:rsidR="005201AD" w:rsidRPr="00F96C06">
        <w:rPr>
          <w:rFonts w:ascii="Times New Roman" w:hAnsi="Times New Roman" w:cs="Times New Roman"/>
          <w:sz w:val="24"/>
          <w:szCs w:val="24"/>
        </w:rPr>
        <w:t>r</w:t>
      </w:r>
      <w:r w:rsidRPr="00F96C06">
        <w:rPr>
          <w:rFonts w:ascii="Times New Roman" w:hAnsi="Times New Roman" w:cs="Times New Roman"/>
          <w:sz w:val="24"/>
          <w:szCs w:val="24"/>
        </w:rPr>
        <w:t>emove the GC</w:t>
      </w:r>
      <w:r w:rsidR="004E69C4" w:rsidRPr="00F96C06">
        <w:rPr>
          <w:rFonts w:ascii="Times New Roman" w:hAnsi="Times New Roman" w:cs="Times New Roman"/>
          <w:sz w:val="24"/>
          <w:szCs w:val="24"/>
        </w:rPr>
        <w:t xml:space="preserve"> without cause. </w:t>
      </w:r>
      <w:r w:rsidRPr="00F96C06">
        <w:rPr>
          <w:rFonts w:ascii="Times New Roman" w:hAnsi="Times New Roman" w:cs="Times New Roman"/>
          <w:sz w:val="24"/>
          <w:szCs w:val="24"/>
        </w:rPr>
        <w:t xml:space="preserve"> </w:t>
      </w:r>
    </w:p>
  </w:footnote>
  <w:footnote w:id="204">
    <w:p w14:paraId="64F090EF" w14:textId="77777777" w:rsidR="00597060" w:rsidRPr="00F96C06" w:rsidRDefault="00597060" w:rsidP="0059706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5, 6 </w:t>
      </w:r>
    </w:p>
  </w:footnote>
  <w:footnote w:id="205">
    <w:p w14:paraId="1695F399" w14:textId="17B66830" w:rsidR="00597060" w:rsidRPr="00F96C06" w:rsidRDefault="0059706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2, 5</w:t>
      </w:r>
    </w:p>
  </w:footnote>
  <w:footnote w:id="206">
    <w:p w14:paraId="4877A534" w14:textId="31A133A7" w:rsidR="00597060" w:rsidRPr="00F96C06" w:rsidRDefault="00597060">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SEC 3</w:t>
      </w:r>
    </w:p>
  </w:footnote>
  <w:footnote w:id="207">
    <w:p w14:paraId="71FB8F03" w14:textId="0064ED95" w:rsidR="00B82802" w:rsidRPr="00F96C06" w:rsidRDefault="00B8280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Barkow,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2D0AD1" w:rsidRPr="00F96C06">
        <w:rPr>
          <w:rFonts w:ascii="Times New Roman" w:hAnsi="Times New Roman" w:cs="Times New Roman"/>
          <w:sz w:val="24"/>
          <w:szCs w:val="24"/>
        </w:rPr>
        <w:t>5</w:t>
      </w:r>
      <w:r w:rsidRPr="00F96C06">
        <w:rPr>
          <w:rFonts w:ascii="Times New Roman" w:hAnsi="Times New Roman" w:cs="Times New Roman"/>
          <w:sz w:val="24"/>
          <w:szCs w:val="24"/>
        </w:rPr>
        <w:t xml:space="preserve">, at 1154-59. </w:t>
      </w:r>
      <w:r w:rsidR="0014590B" w:rsidRPr="00F96C06">
        <w:rPr>
          <w:rFonts w:ascii="Times New Roman" w:hAnsi="Times New Roman" w:cs="Times New Roman"/>
          <w:sz w:val="24"/>
          <w:szCs w:val="24"/>
        </w:rPr>
        <w:t>Sohoni</w:t>
      </w:r>
      <w:r w:rsidR="0014112F" w:rsidRPr="00F96C06">
        <w:rPr>
          <w:rFonts w:ascii="Times New Roman" w:hAnsi="Times New Roman" w:cs="Times New Roman"/>
          <w:sz w:val="24"/>
          <w:szCs w:val="24"/>
        </w:rPr>
        <w:t xml:space="preserve">, </w:t>
      </w:r>
      <w:r w:rsidR="002D0AD1" w:rsidRPr="00F96C06">
        <w:rPr>
          <w:rFonts w:ascii="Times New Roman" w:hAnsi="Times New Roman" w:cs="Times New Roman"/>
          <w:i/>
          <w:iCs/>
          <w:sz w:val="24"/>
          <w:szCs w:val="24"/>
        </w:rPr>
        <w:t xml:space="preserve">supra </w:t>
      </w:r>
      <w:r w:rsidR="0014112F" w:rsidRPr="00F96C06">
        <w:rPr>
          <w:rFonts w:ascii="Times New Roman" w:hAnsi="Times New Roman" w:cs="Times New Roman"/>
          <w:sz w:val="24"/>
          <w:szCs w:val="24"/>
        </w:rPr>
        <w:t xml:space="preserve">note </w:t>
      </w:r>
      <w:r w:rsidR="002D0AD1" w:rsidRPr="00F96C06">
        <w:rPr>
          <w:rFonts w:ascii="Times New Roman" w:hAnsi="Times New Roman" w:cs="Times New Roman"/>
          <w:sz w:val="24"/>
          <w:szCs w:val="24"/>
        </w:rPr>
        <w:t>8</w:t>
      </w:r>
      <w:r w:rsidR="0014112F" w:rsidRPr="00F96C06">
        <w:rPr>
          <w:rFonts w:ascii="Times New Roman" w:hAnsi="Times New Roman" w:cs="Times New Roman"/>
          <w:sz w:val="24"/>
          <w:szCs w:val="24"/>
        </w:rPr>
        <w:t xml:space="preserve"> at </w:t>
      </w:r>
      <w:r w:rsidR="0014590B" w:rsidRPr="00F96C06">
        <w:rPr>
          <w:rFonts w:ascii="Times New Roman" w:hAnsi="Times New Roman" w:cs="Times New Roman"/>
          <w:sz w:val="24"/>
          <w:szCs w:val="24"/>
        </w:rPr>
        <w:t>82</w:t>
      </w:r>
      <w:r w:rsidR="008C1C7F" w:rsidRPr="00F96C06">
        <w:rPr>
          <w:rFonts w:ascii="Times New Roman" w:hAnsi="Times New Roman" w:cs="Times New Roman"/>
          <w:sz w:val="24"/>
          <w:szCs w:val="24"/>
        </w:rPr>
        <w:t xml:space="preserve">; </w:t>
      </w:r>
      <w:r w:rsidR="008C1C7F" w:rsidRPr="00F96C06">
        <w:rPr>
          <w:rFonts w:ascii="Times New Roman" w:hAnsi="Times New Roman" w:cs="Times New Roman"/>
          <w:sz w:val="24"/>
          <w:szCs w:val="24"/>
        </w:rPr>
        <w:t xml:space="preserve">Vorenberg, </w:t>
      </w:r>
      <w:r w:rsidR="008C1C7F" w:rsidRPr="00F96C06">
        <w:rPr>
          <w:rFonts w:ascii="Times New Roman" w:hAnsi="Times New Roman" w:cs="Times New Roman"/>
          <w:i/>
          <w:iCs/>
          <w:sz w:val="24"/>
          <w:szCs w:val="24"/>
        </w:rPr>
        <w:t xml:space="preserve">supra </w:t>
      </w:r>
      <w:r w:rsidR="008C1C7F" w:rsidRPr="00F96C06">
        <w:rPr>
          <w:rFonts w:ascii="Times New Roman" w:hAnsi="Times New Roman" w:cs="Times New Roman"/>
          <w:sz w:val="24"/>
          <w:szCs w:val="24"/>
        </w:rPr>
        <w:t>note 5 at 1562-65</w:t>
      </w:r>
      <w:r w:rsidR="00A52943" w:rsidRPr="00F96C06">
        <w:rPr>
          <w:rFonts w:ascii="Times New Roman" w:hAnsi="Times New Roman" w:cs="Times New Roman"/>
          <w:sz w:val="24"/>
          <w:szCs w:val="24"/>
        </w:rPr>
        <w:t xml:space="preserve">; Norman Abrams, </w:t>
      </w:r>
      <w:r w:rsidR="00A52943" w:rsidRPr="00F96C06">
        <w:rPr>
          <w:rFonts w:ascii="Times New Roman" w:hAnsi="Times New Roman" w:cs="Times New Roman"/>
          <w:i/>
          <w:iCs/>
          <w:sz w:val="24"/>
          <w:szCs w:val="24"/>
        </w:rPr>
        <w:t>Internal Policy: Guiding the Exercise of Prosecutorial Discretion</w:t>
      </w:r>
      <w:r w:rsidR="00A52943" w:rsidRPr="00F96C06">
        <w:rPr>
          <w:rFonts w:ascii="Times New Roman" w:hAnsi="Times New Roman" w:cs="Times New Roman"/>
          <w:sz w:val="24"/>
          <w:szCs w:val="24"/>
        </w:rPr>
        <w:t xml:space="preserve">, 19 </w:t>
      </w:r>
      <w:r w:rsidR="00A52943" w:rsidRPr="00F96C06">
        <w:rPr>
          <w:rFonts w:ascii="Times New Roman" w:hAnsi="Times New Roman" w:cs="Times New Roman"/>
          <w:smallCaps/>
          <w:sz w:val="24"/>
          <w:szCs w:val="24"/>
        </w:rPr>
        <w:t>UCLA L . Rev.</w:t>
      </w:r>
      <w:r w:rsidR="00A52943" w:rsidRPr="00F96C06">
        <w:rPr>
          <w:rFonts w:ascii="Times New Roman" w:hAnsi="Times New Roman" w:cs="Times New Roman"/>
          <w:sz w:val="24"/>
          <w:szCs w:val="24"/>
        </w:rPr>
        <w:t xml:space="preserve"> 1 (1971). </w:t>
      </w:r>
      <w:r w:rsidRPr="00F96C06">
        <w:rPr>
          <w:rFonts w:ascii="Times New Roman" w:hAnsi="Times New Roman" w:cs="Times New Roman"/>
          <w:sz w:val="24"/>
          <w:szCs w:val="24"/>
        </w:rPr>
        <w:t xml:space="preserve"> </w:t>
      </w:r>
      <w:r w:rsidR="001926B9" w:rsidRPr="00F96C06">
        <w:rPr>
          <w:rFonts w:ascii="Times New Roman" w:hAnsi="Times New Roman" w:cs="Times New Roman"/>
          <w:sz w:val="24"/>
          <w:szCs w:val="24"/>
        </w:rPr>
        <w:t>Agencies are not required to provide pre-adoption notice and comment with respect to general statements of policy, of which enforcement guidelines would be a paradigmatic example.  5 U</w:t>
      </w:r>
      <w:r w:rsidR="002D0AD1" w:rsidRPr="00F96C06">
        <w:rPr>
          <w:rFonts w:ascii="Times New Roman" w:hAnsi="Times New Roman" w:cs="Times New Roman"/>
          <w:sz w:val="24"/>
          <w:szCs w:val="24"/>
        </w:rPr>
        <w:t>.</w:t>
      </w:r>
      <w:r w:rsidR="001926B9" w:rsidRPr="00F96C06">
        <w:rPr>
          <w:rFonts w:ascii="Times New Roman" w:hAnsi="Times New Roman" w:cs="Times New Roman"/>
          <w:sz w:val="24"/>
          <w:szCs w:val="24"/>
        </w:rPr>
        <w:t>S</w:t>
      </w:r>
      <w:r w:rsidR="002D0AD1" w:rsidRPr="00F96C06">
        <w:rPr>
          <w:rFonts w:ascii="Times New Roman" w:hAnsi="Times New Roman" w:cs="Times New Roman"/>
          <w:sz w:val="24"/>
          <w:szCs w:val="24"/>
        </w:rPr>
        <w:t>.</w:t>
      </w:r>
      <w:r w:rsidR="001926B9" w:rsidRPr="00F96C06">
        <w:rPr>
          <w:rFonts w:ascii="Times New Roman" w:hAnsi="Times New Roman" w:cs="Times New Roman"/>
          <w:sz w:val="24"/>
          <w:szCs w:val="24"/>
        </w:rPr>
        <w:t>C</w:t>
      </w:r>
      <w:r w:rsidR="002D0AD1" w:rsidRPr="00F96C06">
        <w:rPr>
          <w:rFonts w:ascii="Times New Roman" w:hAnsi="Times New Roman" w:cs="Times New Roman"/>
          <w:sz w:val="24"/>
          <w:szCs w:val="24"/>
        </w:rPr>
        <w:t>.</w:t>
      </w:r>
      <w:r w:rsidR="001926B9" w:rsidRPr="00F96C06">
        <w:rPr>
          <w:rFonts w:ascii="Times New Roman" w:hAnsi="Times New Roman" w:cs="Times New Roman"/>
          <w:sz w:val="24"/>
          <w:szCs w:val="24"/>
        </w:rPr>
        <w:t xml:space="preserve"> §553(b)(A). </w:t>
      </w:r>
      <w:r w:rsidRPr="00F96C06">
        <w:rPr>
          <w:rFonts w:ascii="Times New Roman" w:hAnsi="Times New Roman" w:cs="Times New Roman"/>
          <w:sz w:val="24"/>
          <w:szCs w:val="24"/>
        </w:rPr>
        <w:t xml:space="preserve">Guidelines should be flexible and leave room for discretion at both staff and agency head levels to avoid being treated as legislative rules that can only be adopted or revised with prior notice and comment. </w:t>
      </w:r>
    </w:p>
  </w:footnote>
  <w:footnote w:id="208">
    <w:p w14:paraId="072D9EF8" w14:textId="439AB7EF" w:rsidR="001C3EDE" w:rsidRPr="00F96C06" w:rsidRDefault="001C3EDE">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See</w:t>
      </w:r>
      <w:r w:rsidRPr="00F96C06">
        <w:rPr>
          <w:rFonts w:ascii="Times New Roman" w:hAnsi="Times New Roman" w:cs="Times New Roman"/>
          <w:sz w:val="24"/>
          <w:szCs w:val="24"/>
        </w:rPr>
        <w:t xml:space="preserve"> Texas v. United States, 14 F.4th 332, 338-40 (5th Cir. 2021).  This decision overturned a district court decision that had enjoined immigration enforcement guidelines adopted on the first day of the Biden administration. The court construed several federal statutes to allow </w:t>
      </w:r>
      <w:r w:rsidR="0069487D" w:rsidRPr="00F96C06">
        <w:rPr>
          <w:rFonts w:ascii="Times New Roman" w:hAnsi="Times New Roman" w:cs="Times New Roman"/>
          <w:sz w:val="24"/>
          <w:szCs w:val="24"/>
        </w:rPr>
        <w:t xml:space="preserve">the agency </w:t>
      </w:r>
      <w:r w:rsidRPr="00F96C06">
        <w:rPr>
          <w:rFonts w:ascii="Times New Roman" w:hAnsi="Times New Roman" w:cs="Times New Roman"/>
          <w:sz w:val="24"/>
          <w:szCs w:val="24"/>
        </w:rPr>
        <w:t xml:space="preserve">to exercise enforcement discretion and issue enforcement guidelines. </w:t>
      </w:r>
    </w:p>
  </w:footnote>
  <w:footnote w:id="209">
    <w:p w14:paraId="46140258" w14:textId="3B9AA1CC" w:rsidR="00B82802" w:rsidRPr="00F96C06" w:rsidRDefault="00B8280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76608F" w:rsidRPr="00F96C06">
        <w:rPr>
          <w:rFonts w:ascii="Times New Roman" w:hAnsi="Times New Roman" w:cs="Times New Roman"/>
          <w:sz w:val="24"/>
          <w:szCs w:val="24"/>
        </w:rPr>
        <w:t>5 U</w:t>
      </w:r>
      <w:r w:rsidR="002D0AD1" w:rsidRPr="00F96C06">
        <w:rPr>
          <w:rFonts w:ascii="Times New Roman" w:hAnsi="Times New Roman" w:cs="Times New Roman"/>
          <w:sz w:val="24"/>
          <w:szCs w:val="24"/>
        </w:rPr>
        <w:t>.</w:t>
      </w:r>
      <w:r w:rsidR="0076608F" w:rsidRPr="00F96C06">
        <w:rPr>
          <w:rFonts w:ascii="Times New Roman" w:hAnsi="Times New Roman" w:cs="Times New Roman"/>
          <w:sz w:val="24"/>
          <w:szCs w:val="24"/>
        </w:rPr>
        <w:t>S</w:t>
      </w:r>
      <w:r w:rsidR="002D0AD1" w:rsidRPr="00F96C06">
        <w:rPr>
          <w:rFonts w:ascii="Times New Roman" w:hAnsi="Times New Roman" w:cs="Times New Roman"/>
          <w:sz w:val="24"/>
          <w:szCs w:val="24"/>
        </w:rPr>
        <w:t>.</w:t>
      </w:r>
      <w:r w:rsidR="0076608F" w:rsidRPr="00F96C06">
        <w:rPr>
          <w:rFonts w:ascii="Times New Roman" w:hAnsi="Times New Roman" w:cs="Times New Roman"/>
          <w:sz w:val="24"/>
          <w:szCs w:val="24"/>
        </w:rPr>
        <w:t>C</w:t>
      </w:r>
      <w:r w:rsidR="002D0AD1" w:rsidRPr="00F96C06">
        <w:rPr>
          <w:rFonts w:ascii="Times New Roman" w:hAnsi="Times New Roman" w:cs="Times New Roman"/>
          <w:sz w:val="24"/>
          <w:szCs w:val="24"/>
        </w:rPr>
        <w:t>.</w:t>
      </w:r>
      <w:r w:rsidR="0076608F" w:rsidRPr="00F96C06">
        <w:rPr>
          <w:rFonts w:ascii="Times New Roman" w:hAnsi="Times New Roman" w:cs="Times New Roman"/>
          <w:sz w:val="24"/>
          <w:szCs w:val="24"/>
        </w:rPr>
        <w:t xml:space="preserve"> </w:t>
      </w:r>
      <w:r w:rsidR="002D0AD1" w:rsidRPr="00F96C06">
        <w:rPr>
          <w:rFonts w:ascii="Times New Roman" w:hAnsi="Times New Roman" w:cs="Times New Roman"/>
          <w:sz w:val="24"/>
          <w:szCs w:val="24"/>
        </w:rPr>
        <w:t>§</w:t>
      </w:r>
      <w:r w:rsidR="0076608F" w:rsidRPr="00F96C06">
        <w:rPr>
          <w:rFonts w:ascii="Times New Roman" w:hAnsi="Times New Roman" w:cs="Times New Roman"/>
          <w:sz w:val="24"/>
          <w:szCs w:val="24"/>
        </w:rPr>
        <w:t xml:space="preserve">552(a)(1)(D). </w:t>
      </w:r>
    </w:p>
  </w:footnote>
  <w:footnote w:id="210">
    <w:p w14:paraId="30BB73C1" w14:textId="438472CB" w:rsidR="00A840A9" w:rsidRPr="00F96C06" w:rsidRDefault="00A840A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FCC </w:t>
      </w:r>
      <w:r w:rsidRPr="00F96C06">
        <w:rPr>
          <w:rFonts w:ascii="Times New Roman" w:hAnsi="Times New Roman" w:cs="Times New Roman"/>
          <w:i/>
          <w:iCs/>
          <w:sz w:val="24"/>
          <w:szCs w:val="24"/>
        </w:rPr>
        <w:t>Enforcement Manual,</w:t>
      </w:r>
      <w:r w:rsidRPr="00F96C06">
        <w:rPr>
          <w:rFonts w:ascii="Times New Roman" w:hAnsi="Times New Roman" w:cs="Times New Roman"/>
          <w:sz w:val="24"/>
          <w:szCs w:val="24"/>
        </w:rPr>
        <w:t xml:space="preserve"> 17-18. </w:t>
      </w:r>
    </w:p>
  </w:footnote>
  <w:footnote w:id="211">
    <w:p w14:paraId="7350EB70" w14:textId="47053028" w:rsidR="009A4FE2" w:rsidRPr="00F96C06" w:rsidRDefault="009A4FE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Ellement,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3534C0" w:rsidRPr="00F96C06">
        <w:rPr>
          <w:rFonts w:ascii="Times New Roman" w:hAnsi="Times New Roman" w:cs="Times New Roman"/>
          <w:sz w:val="24"/>
          <w:szCs w:val="24"/>
        </w:rPr>
        <w:t>10</w:t>
      </w:r>
      <w:r w:rsidR="009250FD" w:rsidRPr="00F96C06">
        <w:rPr>
          <w:rFonts w:ascii="Times New Roman" w:hAnsi="Times New Roman" w:cs="Times New Roman"/>
          <w:sz w:val="24"/>
          <w:szCs w:val="24"/>
        </w:rPr>
        <w:t>5</w:t>
      </w:r>
      <w:r w:rsidRPr="00F96C06">
        <w:rPr>
          <w:rFonts w:ascii="Times New Roman" w:hAnsi="Times New Roman" w:cs="Times New Roman"/>
          <w:sz w:val="24"/>
          <w:szCs w:val="24"/>
        </w:rPr>
        <w:t xml:space="preserve"> at 489-90; NLRB 3.</w:t>
      </w:r>
    </w:p>
  </w:footnote>
  <w:footnote w:id="212">
    <w:p w14:paraId="0CEC4A7A" w14:textId="502A87B3" w:rsidR="0076608F" w:rsidRPr="00F96C06" w:rsidRDefault="0076608F" w:rsidP="001926B9">
      <w:r w:rsidRPr="00F96C06">
        <w:rPr>
          <w:rStyle w:val="FootnoteReference"/>
        </w:rPr>
        <w:footnoteRef/>
      </w:r>
      <w:r w:rsidRPr="00F96C06">
        <w:t xml:space="preserve"> Revised Policy Statement on Enforcement, 123 FERC ¶61156</w:t>
      </w:r>
      <w:r w:rsidR="001926B9" w:rsidRPr="00F96C06">
        <w:t>.</w:t>
      </w:r>
    </w:p>
  </w:footnote>
  <w:footnote w:id="213">
    <w:p w14:paraId="6818F919" w14:textId="77777777" w:rsidR="007A031C" w:rsidRPr="00F96C06" w:rsidRDefault="007A031C" w:rsidP="007A031C">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text at note 96,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w:t>
      </w:r>
    </w:p>
  </w:footnote>
  <w:footnote w:id="214">
    <w:p w14:paraId="7648C92C" w14:textId="6436D8C0" w:rsidR="00A44F2A" w:rsidRPr="00F96C06" w:rsidRDefault="00A44F2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1926B9" w:rsidRPr="00F96C06">
        <w:rPr>
          <w:rFonts w:ascii="Times New Roman" w:hAnsi="Times New Roman" w:cs="Times New Roman"/>
          <w:sz w:val="24"/>
          <w:szCs w:val="24"/>
        </w:rPr>
        <w:t xml:space="preserve">Part V. F. </w:t>
      </w:r>
    </w:p>
  </w:footnote>
  <w:footnote w:id="215">
    <w:p w14:paraId="391F02DB" w14:textId="1175E277" w:rsidR="005D5B18" w:rsidRPr="00F96C06" w:rsidRDefault="005D5B18">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Similarly</w:t>
      </w:r>
      <w:r w:rsidR="001926B9" w:rsidRPr="00F96C06">
        <w:rPr>
          <w:rFonts w:ascii="Times New Roman" w:hAnsi="Times New Roman" w:cs="Times New Roman"/>
          <w:sz w:val="24"/>
          <w:szCs w:val="24"/>
        </w:rPr>
        <w:t>,</w:t>
      </w:r>
      <w:r w:rsidRPr="00F96C06">
        <w:rPr>
          <w:rFonts w:ascii="Times New Roman" w:hAnsi="Times New Roman" w:cs="Times New Roman"/>
          <w:sz w:val="24"/>
          <w:szCs w:val="24"/>
        </w:rPr>
        <w:t xml:space="preserve"> the </w:t>
      </w:r>
      <w:r w:rsidR="00816D61" w:rsidRPr="00F96C06">
        <w:rPr>
          <w:rFonts w:ascii="Times New Roman" w:hAnsi="Times New Roman" w:cs="Times New Roman"/>
          <w:sz w:val="24"/>
          <w:szCs w:val="24"/>
        </w:rPr>
        <w:t xml:space="preserve">article </w:t>
      </w:r>
      <w:r w:rsidRPr="00F96C06">
        <w:rPr>
          <w:rFonts w:ascii="Times New Roman" w:hAnsi="Times New Roman" w:cs="Times New Roman"/>
          <w:sz w:val="24"/>
          <w:szCs w:val="24"/>
        </w:rPr>
        <w:t xml:space="preserve">does not consider proposals for enhanced executive branch oversight of enforcement decisions (like the OMB’s control over rulemaking) or increased Congressional supervision of the enforcement function. </w:t>
      </w:r>
    </w:p>
  </w:footnote>
  <w:footnote w:id="216">
    <w:p w14:paraId="1B79B7A9" w14:textId="435720FE" w:rsidR="00A44F2A" w:rsidRPr="00F96C06" w:rsidRDefault="00A44F2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Mullins &amp; McEachran, </w:t>
      </w:r>
      <w:r w:rsidR="009B1BC2" w:rsidRPr="00F96C06">
        <w:rPr>
          <w:rFonts w:ascii="Times New Roman" w:hAnsi="Times New Roman" w:cs="Times New Roman"/>
          <w:i/>
          <w:iCs/>
          <w:sz w:val="24"/>
          <w:szCs w:val="24"/>
        </w:rPr>
        <w:t xml:space="preserve">supra </w:t>
      </w:r>
      <w:r w:rsidR="003534C0" w:rsidRPr="00F96C06">
        <w:rPr>
          <w:rFonts w:ascii="Times New Roman" w:hAnsi="Times New Roman" w:cs="Times New Roman"/>
          <w:sz w:val="24"/>
          <w:szCs w:val="24"/>
        </w:rPr>
        <w:t>note 4</w:t>
      </w:r>
      <w:r w:rsidR="009B1BC2" w:rsidRPr="00F96C06">
        <w:rPr>
          <w:rFonts w:ascii="Times New Roman" w:hAnsi="Times New Roman" w:cs="Times New Roman"/>
          <w:sz w:val="24"/>
          <w:szCs w:val="24"/>
        </w:rPr>
        <w:t>4</w:t>
      </w:r>
      <w:r w:rsidR="003534C0" w:rsidRPr="00F96C06">
        <w:rPr>
          <w:rFonts w:ascii="Times New Roman" w:hAnsi="Times New Roman" w:cs="Times New Roman"/>
          <w:sz w:val="24"/>
          <w:szCs w:val="24"/>
        </w:rPr>
        <w:t>.</w:t>
      </w:r>
      <w:r w:rsidR="001926B9" w:rsidRPr="00F96C06">
        <w:rPr>
          <w:rFonts w:ascii="Times New Roman" w:hAnsi="Times New Roman" w:cs="Times New Roman"/>
          <w:sz w:val="24"/>
          <w:szCs w:val="24"/>
        </w:rPr>
        <w:t xml:space="preserve"> There are numerous examples of enforcement agencies that lack adjudicatory power, such as the EEOC in cases of non-governmental employment discrimination or the Wage and Hou</w:t>
      </w:r>
      <w:r w:rsidR="009B1BC2" w:rsidRPr="00F96C06">
        <w:rPr>
          <w:rFonts w:ascii="Times New Roman" w:hAnsi="Times New Roman" w:cs="Times New Roman"/>
          <w:sz w:val="24"/>
          <w:szCs w:val="24"/>
        </w:rPr>
        <w:t>r D</w:t>
      </w:r>
      <w:r w:rsidR="001926B9" w:rsidRPr="00F96C06">
        <w:rPr>
          <w:rFonts w:ascii="Times New Roman" w:hAnsi="Times New Roman" w:cs="Times New Roman"/>
          <w:sz w:val="24"/>
          <w:szCs w:val="24"/>
        </w:rPr>
        <w:t xml:space="preserve">ivision of the Department of Labor. </w:t>
      </w:r>
      <w:r w:rsidR="000530ED" w:rsidRPr="00F96C06">
        <w:rPr>
          <w:rFonts w:ascii="Times New Roman" w:hAnsi="Times New Roman" w:cs="Times New Roman"/>
          <w:sz w:val="24"/>
          <w:szCs w:val="24"/>
        </w:rPr>
        <w:t>The Fifth Circuit recently decided that the SEC could not constitutionally conduct in-house civil penalty adjudication</w:t>
      </w:r>
      <w:r w:rsidR="0069487D" w:rsidRPr="00F96C06">
        <w:rPr>
          <w:rFonts w:ascii="Times New Roman" w:hAnsi="Times New Roman" w:cs="Times New Roman"/>
          <w:sz w:val="24"/>
          <w:szCs w:val="24"/>
        </w:rPr>
        <w:t xml:space="preserve"> and must bring such cases in federal court</w:t>
      </w:r>
      <w:r w:rsidR="000530ED" w:rsidRPr="00F96C06">
        <w:rPr>
          <w:rFonts w:ascii="Times New Roman" w:hAnsi="Times New Roman" w:cs="Times New Roman"/>
          <w:sz w:val="24"/>
          <w:szCs w:val="24"/>
        </w:rPr>
        <w:t xml:space="preserve">. </w:t>
      </w:r>
      <w:r w:rsidR="000530ED" w:rsidRPr="00F96C06">
        <w:rPr>
          <w:rFonts w:ascii="Times New Roman" w:hAnsi="Times New Roman" w:cs="Times New Roman"/>
          <w:i/>
          <w:iCs/>
          <w:sz w:val="24"/>
          <w:szCs w:val="24"/>
        </w:rPr>
        <w:t>Jarkesy v. SEC</w:t>
      </w:r>
      <w:r w:rsidR="000530ED" w:rsidRPr="00F96C06">
        <w:rPr>
          <w:rFonts w:ascii="Times New Roman" w:hAnsi="Times New Roman" w:cs="Times New Roman"/>
          <w:sz w:val="24"/>
          <w:szCs w:val="24"/>
        </w:rPr>
        <w:t xml:space="preserve">, discussed in text at note </w:t>
      </w:r>
      <w:r w:rsidR="009B1BC2" w:rsidRPr="00F96C06">
        <w:rPr>
          <w:rFonts w:ascii="Times New Roman" w:hAnsi="Times New Roman" w:cs="Times New Roman"/>
          <w:sz w:val="24"/>
          <w:szCs w:val="24"/>
        </w:rPr>
        <w:t>11,</w:t>
      </w:r>
      <w:r w:rsidR="000530ED" w:rsidRPr="00F96C06">
        <w:rPr>
          <w:rFonts w:ascii="Times New Roman" w:hAnsi="Times New Roman" w:cs="Times New Roman"/>
          <w:sz w:val="24"/>
          <w:szCs w:val="24"/>
        </w:rPr>
        <w:t xml:space="preserve"> </w:t>
      </w:r>
      <w:r w:rsidR="000530ED" w:rsidRPr="00F96C06">
        <w:rPr>
          <w:rFonts w:ascii="Times New Roman" w:hAnsi="Times New Roman" w:cs="Times New Roman"/>
          <w:i/>
          <w:iCs/>
          <w:sz w:val="24"/>
          <w:szCs w:val="24"/>
        </w:rPr>
        <w:t>supra</w:t>
      </w:r>
      <w:r w:rsidR="000530ED" w:rsidRPr="00F96C06">
        <w:rPr>
          <w:rFonts w:ascii="Times New Roman" w:hAnsi="Times New Roman" w:cs="Times New Roman"/>
          <w:sz w:val="24"/>
          <w:szCs w:val="24"/>
        </w:rPr>
        <w:t>.</w:t>
      </w:r>
    </w:p>
  </w:footnote>
  <w:footnote w:id="217">
    <w:p w14:paraId="069D13E8" w14:textId="46609528" w:rsidR="00010109" w:rsidRPr="00F96C06" w:rsidRDefault="00010109" w:rsidP="0001010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w:t>
      </w:r>
      <w:r w:rsidR="001926B9" w:rsidRPr="00F96C06">
        <w:rPr>
          <w:rFonts w:ascii="Times New Roman" w:hAnsi="Times New Roman" w:cs="Times New Roman"/>
          <w:sz w:val="24"/>
          <w:szCs w:val="24"/>
        </w:rPr>
        <w:t>Part II. D.</w:t>
      </w:r>
    </w:p>
  </w:footnote>
  <w:footnote w:id="218">
    <w:p w14:paraId="2F15C80F" w14:textId="42CE3B65" w:rsidR="009A4FE2" w:rsidRPr="00F96C06" w:rsidRDefault="009A4FE2">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1926B9" w:rsidRPr="00F96C06">
        <w:rPr>
          <w:rFonts w:ascii="Times New Roman" w:hAnsi="Times New Roman" w:cs="Times New Roman"/>
          <w:sz w:val="24"/>
          <w:szCs w:val="24"/>
        </w:rPr>
        <w:t>See Part II.</w:t>
      </w:r>
      <w:r w:rsidR="009B1BC2" w:rsidRPr="00F96C06">
        <w:rPr>
          <w:rFonts w:ascii="Times New Roman" w:hAnsi="Times New Roman" w:cs="Times New Roman"/>
          <w:sz w:val="24"/>
          <w:szCs w:val="24"/>
        </w:rPr>
        <w:t xml:space="preserve"> </w:t>
      </w:r>
      <w:r w:rsidR="001926B9" w:rsidRPr="00F96C06">
        <w:rPr>
          <w:rFonts w:ascii="Times New Roman" w:hAnsi="Times New Roman" w:cs="Times New Roman"/>
          <w:sz w:val="24"/>
          <w:szCs w:val="24"/>
        </w:rPr>
        <w:t>C.</w:t>
      </w:r>
    </w:p>
  </w:footnote>
  <w:footnote w:id="219">
    <w:p w14:paraId="4C113DC3" w14:textId="5F37BFF0" w:rsidR="005A2B94" w:rsidRPr="00F96C06" w:rsidRDefault="005A2B94">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Michael Asimow, </w:t>
      </w:r>
      <w:r w:rsidRPr="00F96C06">
        <w:rPr>
          <w:rFonts w:ascii="Times New Roman" w:hAnsi="Times New Roman" w:cs="Times New Roman"/>
          <w:i/>
          <w:iCs/>
          <w:sz w:val="24"/>
          <w:szCs w:val="24"/>
        </w:rPr>
        <w:t>Five Models of Administrative Adjudication,</w:t>
      </w:r>
      <w:r w:rsidRPr="00F96C06">
        <w:rPr>
          <w:rFonts w:ascii="Times New Roman" w:hAnsi="Times New Roman" w:cs="Times New Roman"/>
          <w:sz w:val="24"/>
          <w:szCs w:val="24"/>
        </w:rPr>
        <w:t xml:space="preserve"> </w:t>
      </w:r>
      <w:r w:rsidRPr="00F96C06">
        <w:rPr>
          <w:rFonts w:ascii="Times New Roman" w:hAnsi="Times New Roman" w:cs="Times New Roman"/>
          <w:bCs/>
          <w:color w:val="000000"/>
          <w:sz w:val="24"/>
          <w:szCs w:val="24"/>
        </w:rPr>
        <w:t xml:space="preserve">63 </w:t>
      </w:r>
      <w:r w:rsidRPr="00F96C06">
        <w:rPr>
          <w:rFonts w:ascii="Times New Roman" w:hAnsi="Times New Roman" w:cs="Times New Roman"/>
          <w:bCs/>
          <w:smallCaps/>
          <w:color w:val="000000"/>
          <w:sz w:val="24"/>
          <w:szCs w:val="24"/>
        </w:rPr>
        <w:t>Amer. J. Comp. L</w:t>
      </w:r>
      <w:r w:rsidRPr="00F96C06">
        <w:rPr>
          <w:rFonts w:ascii="Times New Roman" w:hAnsi="Times New Roman" w:cs="Times New Roman"/>
          <w:bCs/>
          <w:color w:val="000000"/>
          <w:sz w:val="24"/>
          <w:szCs w:val="24"/>
        </w:rPr>
        <w:t>. 3 (2015)</w:t>
      </w:r>
      <w:r w:rsidR="003534C0" w:rsidRPr="00F96C06">
        <w:rPr>
          <w:rFonts w:ascii="Times New Roman" w:hAnsi="Times New Roman" w:cs="Times New Roman"/>
          <w:bCs/>
          <w:color w:val="000000"/>
          <w:sz w:val="24"/>
          <w:szCs w:val="24"/>
        </w:rPr>
        <w:t>.</w:t>
      </w:r>
    </w:p>
  </w:footnote>
  <w:footnote w:id="220">
    <w:p w14:paraId="5311655A" w14:textId="074437BC" w:rsidR="00010109" w:rsidRPr="00F96C06" w:rsidRDefault="00010109" w:rsidP="0001010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005A2B94" w:rsidRPr="00F96C06">
        <w:rPr>
          <w:rFonts w:ascii="Times New Roman" w:hAnsi="Times New Roman" w:cs="Times New Roman"/>
          <w:i/>
          <w:iCs/>
          <w:sz w:val="24"/>
          <w:szCs w:val="24"/>
        </w:rPr>
        <w:t>See</w:t>
      </w:r>
      <w:r w:rsidR="005A2B94" w:rsidRPr="00F96C06">
        <w:rPr>
          <w:rFonts w:ascii="Times New Roman" w:hAnsi="Times New Roman" w:cs="Times New Roman"/>
          <w:sz w:val="24"/>
          <w:szCs w:val="24"/>
        </w:rPr>
        <w:t xml:space="preserve"> </w:t>
      </w:r>
      <w:r w:rsidR="003534C0" w:rsidRPr="00F96C06">
        <w:rPr>
          <w:rFonts w:ascii="Times New Roman" w:hAnsi="Times New Roman" w:cs="Times New Roman"/>
          <w:sz w:val="24"/>
          <w:szCs w:val="24"/>
        </w:rPr>
        <w:t xml:space="preserve">Gifford, </w:t>
      </w:r>
      <w:r w:rsidR="001C33BE" w:rsidRPr="00F96C06">
        <w:rPr>
          <w:rFonts w:ascii="Times New Roman" w:hAnsi="Times New Roman" w:cs="Times New Roman"/>
          <w:i/>
          <w:iCs/>
          <w:sz w:val="24"/>
          <w:szCs w:val="24"/>
        </w:rPr>
        <w:t xml:space="preserve">supra </w:t>
      </w:r>
      <w:r w:rsidR="003534C0" w:rsidRPr="00F96C06">
        <w:rPr>
          <w:rFonts w:ascii="Times New Roman" w:hAnsi="Times New Roman" w:cs="Times New Roman"/>
          <w:sz w:val="24"/>
          <w:szCs w:val="24"/>
        </w:rPr>
        <w:t xml:space="preserve">note </w:t>
      </w:r>
      <w:r w:rsidR="001C33BE" w:rsidRPr="00F96C06">
        <w:rPr>
          <w:rFonts w:ascii="Times New Roman" w:hAnsi="Times New Roman" w:cs="Times New Roman"/>
          <w:sz w:val="24"/>
          <w:szCs w:val="24"/>
        </w:rPr>
        <w:t>89</w:t>
      </w:r>
      <w:r w:rsidR="003534C0" w:rsidRPr="00F96C06">
        <w:rPr>
          <w:rFonts w:ascii="Times New Roman" w:hAnsi="Times New Roman" w:cs="Times New Roman"/>
          <w:sz w:val="24"/>
          <w:szCs w:val="24"/>
        </w:rPr>
        <w:t xml:space="preserve">; </w:t>
      </w:r>
      <w:r w:rsidRPr="00F96C06">
        <w:rPr>
          <w:rFonts w:ascii="Times New Roman" w:hAnsi="Times New Roman" w:cs="Times New Roman"/>
          <w:sz w:val="24"/>
          <w:szCs w:val="24"/>
        </w:rPr>
        <w:t xml:space="preserve">Verkuil,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w:t>
      </w:r>
      <w:r w:rsidR="003534C0" w:rsidRPr="00F96C06">
        <w:rPr>
          <w:rFonts w:ascii="Times New Roman" w:hAnsi="Times New Roman" w:cs="Times New Roman"/>
          <w:sz w:val="24"/>
          <w:szCs w:val="24"/>
        </w:rPr>
        <w:t>9</w:t>
      </w:r>
      <w:r w:rsidR="001C33BE" w:rsidRPr="00F96C06">
        <w:rPr>
          <w:rFonts w:ascii="Times New Roman" w:hAnsi="Times New Roman" w:cs="Times New Roman"/>
          <w:sz w:val="24"/>
          <w:szCs w:val="24"/>
        </w:rPr>
        <w:t>7</w:t>
      </w:r>
      <w:r w:rsidRPr="00F96C06">
        <w:rPr>
          <w:rFonts w:ascii="Times New Roman" w:hAnsi="Times New Roman" w:cs="Times New Roman"/>
          <w:sz w:val="24"/>
          <w:szCs w:val="24"/>
        </w:rPr>
        <w:t xml:space="preserve"> at 268-69; Peter L. Strauss, </w:t>
      </w:r>
      <w:r w:rsidRPr="00F96C06">
        <w:rPr>
          <w:rFonts w:ascii="Times New Roman" w:hAnsi="Times New Roman" w:cs="Times New Roman"/>
          <w:i/>
          <w:iCs/>
          <w:sz w:val="24"/>
          <w:szCs w:val="24"/>
        </w:rPr>
        <w:t>Rules, Adjudications, and Other Sources of Law in an Executive Department: Reflections on the Interior Department’s Administration of the Mining Law,</w:t>
      </w:r>
      <w:r w:rsidRPr="00F96C06">
        <w:rPr>
          <w:rFonts w:ascii="Times New Roman" w:hAnsi="Times New Roman" w:cs="Times New Roman"/>
          <w:sz w:val="24"/>
          <w:szCs w:val="24"/>
        </w:rPr>
        <w:t xml:space="preserve"> 74 </w:t>
      </w:r>
      <w:r w:rsidRPr="00F96C06">
        <w:rPr>
          <w:rFonts w:ascii="Times New Roman" w:hAnsi="Times New Roman" w:cs="Times New Roman"/>
          <w:smallCaps/>
          <w:sz w:val="24"/>
          <w:szCs w:val="24"/>
        </w:rPr>
        <w:t>Colum L. Rev.</w:t>
      </w:r>
      <w:r w:rsidRPr="00F96C06">
        <w:rPr>
          <w:rFonts w:ascii="Times New Roman" w:hAnsi="Times New Roman" w:cs="Times New Roman"/>
          <w:sz w:val="24"/>
          <w:szCs w:val="24"/>
        </w:rPr>
        <w:t xml:space="preserve"> 1231, 1254-64 (1974). </w:t>
      </w:r>
    </w:p>
  </w:footnote>
  <w:footnote w:id="221">
    <w:p w14:paraId="26EA20E5" w14:textId="79B11687" w:rsidR="00E65649" w:rsidRPr="00F96C06" w:rsidRDefault="00E6564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See</w:t>
      </w:r>
      <w:r w:rsidRPr="00F96C06">
        <w:rPr>
          <w:rFonts w:ascii="Times New Roman" w:hAnsi="Times New Roman" w:cs="Times New Roman"/>
          <w:sz w:val="24"/>
          <w:szCs w:val="24"/>
        </w:rPr>
        <w:t xml:space="preserve"> Asimow, </w:t>
      </w:r>
      <w:r w:rsidRPr="00F96C06">
        <w:rPr>
          <w:rFonts w:ascii="Times New Roman" w:hAnsi="Times New Roman" w:cs="Times New Roman"/>
          <w:i/>
          <w:iCs/>
          <w:sz w:val="24"/>
          <w:szCs w:val="24"/>
        </w:rPr>
        <w:t>supra</w:t>
      </w:r>
      <w:r w:rsidRPr="00F96C06">
        <w:rPr>
          <w:rFonts w:ascii="Times New Roman" w:hAnsi="Times New Roman" w:cs="Times New Roman"/>
          <w:sz w:val="24"/>
          <w:szCs w:val="24"/>
        </w:rPr>
        <w:t xml:space="preserve"> note 4 at 146-48. </w:t>
      </w:r>
    </w:p>
  </w:footnote>
  <w:footnote w:id="222">
    <w:p w14:paraId="1DAD2313" w14:textId="1948FC64" w:rsidR="0050025A" w:rsidRPr="00F96C06" w:rsidRDefault="0050025A">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 xml:space="preserve">See </w:t>
      </w:r>
      <w:r w:rsidRPr="00F96C06">
        <w:rPr>
          <w:rFonts w:ascii="Times New Roman" w:hAnsi="Times New Roman" w:cs="Times New Roman"/>
          <w:sz w:val="24"/>
          <w:szCs w:val="24"/>
        </w:rPr>
        <w:t>https://www.dm.usda.gov/ojo/</w:t>
      </w:r>
    </w:p>
  </w:footnote>
  <w:footnote w:id="223">
    <w:p w14:paraId="5D69FEC4" w14:textId="5E2AA8D7" w:rsidR="00010109" w:rsidRPr="00F96C06" w:rsidRDefault="00010109" w:rsidP="0001010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w:t>
      </w:r>
      <w:r w:rsidRPr="00F96C06">
        <w:rPr>
          <w:rFonts w:ascii="Times New Roman" w:hAnsi="Times New Roman" w:cs="Times New Roman"/>
          <w:i/>
          <w:iCs/>
          <w:sz w:val="24"/>
          <w:szCs w:val="24"/>
        </w:rPr>
        <w:t xml:space="preserve">See </w:t>
      </w:r>
      <w:r w:rsidR="00B81632" w:rsidRPr="00B81632">
        <w:rPr>
          <w:rFonts w:ascii="Times New Roman" w:hAnsi="Times New Roman" w:cs="Times New Roman"/>
          <w:sz w:val="24"/>
          <w:szCs w:val="24"/>
        </w:rPr>
        <w:t xml:space="preserve">Christopher J. Walker &amp; Matthew Lee Wiener, Agency Appellate Systems (Dec. 14, 2020) (report to the Admin. Conf. of the U.S.), </w:t>
      </w:r>
      <w:hyperlink r:id="rId6" w:history="1">
        <w:r w:rsidR="00B81632" w:rsidRPr="00FF2EB0">
          <w:rPr>
            <w:rStyle w:val="Hyperlink"/>
            <w:rFonts w:ascii="Times New Roman" w:hAnsi="Times New Roman" w:cs="Times New Roman"/>
            <w:sz w:val="24"/>
            <w:szCs w:val="24"/>
          </w:rPr>
          <w:t>https://www.acus.gov/report/final-report-agency-appellate-systems</w:t>
        </w:r>
      </w:hyperlink>
      <w:r w:rsidR="00B81632">
        <w:rPr>
          <w:rFonts w:ascii="Times New Roman" w:hAnsi="Times New Roman" w:cs="Times New Roman"/>
          <w:sz w:val="24"/>
          <w:szCs w:val="24"/>
        </w:rPr>
        <w:t xml:space="preserve">; </w:t>
      </w:r>
      <w:r w:rsidR="00B81632" w:rsidRPr="00B81632">
        <w:rPr>
          <w:rFonts w:ascii="Times New Roman" w:hAnsi="Times New Roman" w:cs="Times New Roman"/>
          <w:i/>
          <w:iCs/>
          <w:sz w:val="24"/>
          <w:szCs w:val="24"/>
        </w:rPr>
        <w:t xml:space="preserve"> </w:t>
      </w:r>
      <w:r w:rsidRPr="00F96C06">
        <w:rPr>
          <w:rFonts w:ascii="Times New Roman" w:hAnsi="Times New Roman" w:cs="Times New Roman"/>
          <w:sz w:val="24"/>
          <w:szCs w:val="24"/>
        </w:rPr>
        <w:t>Admin. Conf</w:t>
      </w:r>
      <w:r w:rsidR="001C33BE" w:rsidRPr="00F96C06">
        <w:rPr>
          <w:rFonts w:ascii="Times New Roman" w:hAnsi="Times New Roman" w:cs="Times New Roman"/>
          <w:sz w:val="24"/>
          <w:szCs w:val="24"/>
        </w:rPr>
        <w:t xml:space="preserve">. </w:t>
      </w:r>
      <w:r w:rsidR="00F96C06">
        <w:rPr>
          <w:rFonts w:ascii="Times New Roman" w:hAnsi="Times New Roman" w:cs="Times New Roman"/>
          <w:sz w:val="24"/>
          <w:szCs w:val="24"/>
        </w:rPr>
        <w:t xml:space="preserve">Report, </w:t>
      </w:r>
      <w:r w:rsidRPr="00F96C06">
        <w:rPr>
          <w:rFonts w:ascii="Times New Roman" w:hAnsi="Times New Roman" w:cs="Times New Roman"/>
          <w:sz w:val="24"/>
          <w:szCs w:val="24"/>
        </w:rPr>
        <w:t xml:space="preserve">Rec. 68-6, “Delegation of Final Decisional Authority Subject to Discretionary Review by the Agency;” Admin. Conf. Rec. 83-3, “Agency Structures for Review of Decisions of Presiding Officers under the Administrative Procedure Act.”   </w:t>
      </w:r>
    </w:p>
  </w:footnote>
  <w:footnote w:id="224">
    <w:p w14:paraId="465F9393" w14:textId="03A89879" w:rsidR="00010109" w:rsidRPr="00F96C06" w:rsidRDefault="00010109" w:rsidP="00010109">
      <w:pPr>
        <w:pStyle w:val="FootnoteText"/>
        <w:rPr>
          <w:rFonts w:ascii="Times New Roman" w:hAnsi="Times New Roman" w:cs="Times New Roman"/>
          <w:sz w:val="24"/>
          <w:szCs w:val="24"/>
        </w:rPr>
      </w:pPr>
      <w:r w:rsidRPr="00F96C06">
        <w:rPr>
          <w:rStyle w:val="FootnoteReference"/>
          <w:rFonts w:ascii="Times New Roman" w:hAnsi="Times New Roman" w:cs="Times New Roman"/>
          <w:sz w:val="24"/>
          <w:szCs w:val="24"/>
        </w:rPr>
        <w:footnoteRef/>
      </w:r>
      <w:r w:rsidRPr="00F96C06">
        <w:rPr>
          <w:rFonts w:ascii="Times New Roman" w:hAnsi="Times New Roman" w:cs="Times New Roman"/>
          <w:sz w:val="24"/>
          <w:szCs w:val="24"/>
        </w:rPr>
        <w:t xml:space="preserve"> See Russell L. Weaver, </w:t>
      </w:r>
      <w:r w:rsidRPr="00F96C06">
        <w:rPr>
          <w:rFonts w:ascii="Times New Roman" w:hAnsi="Times New Roman" w:cs="Times New Roman"/>
          <w:i/>
          <w:iCs/>
          <w:sz w:val="24"/>
          <w:szCs w:val="24"/>
        </w:rPr>
        <w:t>Appellate Review in Executive Departments and Agencies</w:t>
      </w:r>
      <w:r w:rsidRPr="00F96C06">
        <w:rPr>
          <w:rFonts w:ascii="Times New Roman" w:hAnsi="Times New Roman" w:cs="Times New Roman"/>
          <w:sz w:val="24"/>
          <w:szCs w:val="24"/>
        </w:rPr>
        <w:t>,</w:t>
      </w:r>
      <w:r w:rsidRPr="00F96C06">
        <w:rPr>
          <w:rFonts w:ascii="Times New Roman" w:hAnsi="Times New Roman" w:cs="Times New Roman"/>
          <w:i/>
          <w:iCs/>
          <w:sz w:val="24"/>
          <w:szCs w:val="24"/>
        </w:rPr>
        <w:t xml:space="preserve"> </w:t>
      </w:r>
      <w:r w:rsidRPr="00F96C06">
        <w:rPr>
          <w:rFonts w:ascii="Times New Roman" w:hAnsi="Times New Roman" w:cs="Times New Roman"/>
          <w:sz w:val="24"/>
          <w:szCs w:val="24"/>
        </w:rPr>
        <w:t xml:space="preserve">48 </w:t>
      </w:r>
      <w:r w:rsidRPr="00F96C06">
        <w:rPr>
          <w:rFonts w:ascii="Times New Roman" w:hAnsi="Times New Roman" w:cs="Times New Roman"/>
          <w:smallCaps/>
          <w:sz w:val="24"/>
          <w:szCs w:val="24"/>
        </w:rPr>
        <w:t>Admin. L. Rev.</w:t>
      </w:r>
      <w:r w:rsidRPr="00F96C06">
        <w:rPr>
          <w:rFonts w:ascii="Times New Roman" w:hAnsi="Times New Roman" w:cs="Times New Roman"/>
          <w:sz w:val="24"/>
          <w:szCs w:val="24"/>
        </w:rPr>
        <w:t xml:space="preserve"> 251 (1996)</w:t>
      </w:r>
      <w:r w:rsidR="005D5B18" w:rsidRPr="00F96C06">
        <w:rPr>
          <w:rFonts w:ascii="Times New Roman" w:hAnsi="Times New Roman" w:cs="Times New Roman"/>
          <w:sz w:val="24"/>
          <w:szCs w:val="24"/>
        </w:rPr>
        <w:t>;</w:t>
      </w:r>
      <w:r w:rsidRPr="00F96C06">
        <w:rPr>
          <w:rFonts w:ascii="Times New Roman" w:hAnsi="Times New Roman" w:cs="Times New Roman"/>
          <w:i/>
          <w:iCs/>
          <w:sz w:val="24"/>
          <w:szCs w:val="24"/>
        </w:rPr>
        <w:t xml:space="preserve"> </w:t>
      </w:r>
      <w:r w:rsidR="005D5B18" w:rsidRPr="00F96C06">
        <w:rPr>
          <w:rFonts w:ascii="Times New Roman" w:hAnsi="Times New Roman" w:cs="Times New Roman"/>
          <w:sz w:val="24"/>
          <w:szCs w:val="24"/>
        </w:rPr>
        <w:t xml:space="preserve">Ronald A. Cass, </w:t>
      </w:r>
      <w:r w:rsidR="005D5B18" w:rsidRPr="00F96C06">
        <w:rPr>
          <w:rFonts w:ascii="Times New Roman" w:hAnsi="Times New Roman" w:cs="Times New Roman"/>
          <w:i/>
          <w:iCs/>
          <w:sz w:val="24"/>
          <w:szCs w:val="24"/>
        </w:rPr>
        <w:t xml:space="preserve">Allocation of Authority Within Bureaucracies: Empirical Evidence and Normative Analysis, </w:t>
      </w:r>
      <w:r w:rsidR="005D5B18" w:rsidRPr="00F96C06">
        <w:rPr>
          <w:rFonts w:ascii="Times New Roman" w:hAnsi="Times New Roman" w:cs="Times New Roman"/>
          <w:sz w:val="24"/>
          <w:szCs w:val="24"/>
        </w:rPr>
        <w:t xml:space="preserve">66 </w:t>
      </w:r>
      <w:r w:rsidR="005D5B18" w:rsidRPr="00F96C06">
        <w:rPr>
          <w:rFonts w:ascii="Times New Roman" w:hAnsi="Times New Roman" w:cs="Times New Roman"/>
          <w:smallCaps/>
          <w:sz w:val="24"/>
          <w:szCs w:val="24"/>
        </w:rPr>
        <w:t xml:space="preserve">Bos. U. L. Rev. 1, 12-13 (1986); </w:t>
      </w:r>
      <w:r w:rsidR="005D5B18" w:rsidRPr="00F96C06">
        <w:rPr>
          <w:rFonts w:ascii="Times New Roman" w:hAnsi="Times New Roman" w:cs="Times New Roman"/>
          <w:sz w:val="24"/>
          <w:szCs w:val="24"/>
        </w:rPr>
        <w:t>Verkuil,</w:t>
      </w:r>
      <w:r w:rsidR="001C33BE" w:rsidRPr="00F96C06">
        <w:rPr>
          <w:rFonts w:ascii="Times New Roman" w:hAnsi="Times New Roman" w:cs="Times New Roman"/>
          <w:sz w:val="24"/>
          <w:szCs w:val="24"/>
        </w:rPr>
        <w:t xml:space="preserve"> </w:t>
      </w:r>
      <w:r w:rsidR="001C33BE" w:rsidRPr="00F96C06">
        <w:rPr>
          <w:rFonts w:ascii="Times New Roman" w:hAnsi="Times New Roman" w:cs="Times New Roman"/>
          <w:i/>
          <w:iCs/>
          <w:sz w:val="24"/>
          <w:szCs w:val="24"/>
        </w:rPr>
        <w:t xml:space="preserve">supra </w:t>
      </w:r>
      <w:r w:rsidR="005D5B18" w:rsidRPr="00F96C06">
        <w:rPr>
          <w:rFonts w:ascii="Times New Roman" w:hAnsi="Times New Roman" w:cs="Times New Roman"/>
          <w:sz w:val="24"/>
          <w:szCs w:val="24"/>
        </w:rPr>
        <w:t xml:space="preserve">note </w:t>
      </w:r>
      <w:r w:rsidR="003534C0" w:rsidRPr="00F96C06">
        <w:rPr>
          <w:rFonts w:ascii="Times New Roman" w:hAnsi="Times New Roman" w:cs="Times New Roman"/>
          <w:sz w:val="24"/>
          <w:szCs w:val="24"/>
        </w:rPr>
        <w:t>9</w:t>
      </w:r>
      <w:r w:rsidR="001C33BE" w:rsidRPr="00F96C06">
        <w:rPr>
          <w:rFonts w:ascii="Times New Roman" w:hAnsi="Times New Roman" w:cs="Times New Roman"/>
          <w:sz w:val="24"/>
          <w:szCs w:val="24"/>
        </w:rPr>
        <w:t>7</w:t>
      </w:r>
      <w:r w:rsidR="005D5B18" w:rsidRPr="00F96C06">
        <w:rPr>
          <w:rFonts w:ascii="Times New Roman" w:hAnsi="Times New Roman" w:cs="Times New Roman"/>
          <w:sz w:val="24"/>
          <w:szCs w:val="24"/>
        </w:rPr>
        <w:t xml:space="preserve"> at 268-69.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629"/>
    <w:multiLevelType w:val="hybridMultilevel"/>
    <w:tmpl w:val="0F8CE01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CDA7C58"/>
    <w:multiLevelType w:val="multilevel"/>
    <w:tmpl w:val="0A82769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D25EE"/>
    <w:multiLevelType w:val="hybridMultilevel"/>
    <w:tmpl w:val="903AA4FE"/>
    <w:lvl w:ilvl="0" w:tplc="BE44C8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470C6"/>
    <w:multiLevelType w:val="hybridMultilevel"/>
    <w:tmpl w:val="B0FC4736"/>
    <w:lvl w:ilvl="0" w:tplc="316660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832140">
    <w:abstractNumId w:val="0"/>
  </w:num>
  <w:num w:numId="2" w16cid:durableId="2000767489">
    <w:abstractNumId w:val="1"/>
  </w:num>
  <w:num w:numId="3" w16cid:durableId="613287691">
    <w:abstractNumId w:val="2"/>
  </w:num>
  <w:num w:numId="4" w16cid:durableId="1123159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4E"/>
    <w:rsid w:val="00000C95"/>
    <w:rsid w:val="00001A30"/>
    <w:rsid w:val="00003A56"/>
    <w:rsid w:val="00003CCE"/>
    <w:rsid w:val="00004C39"/>
    <w:rsid w:val="00005685"/>
    <w:rsid w:val="00010109"/>
    <w:rsid w:val="000105D8"/>
    <w:rsid w:val="000110B6"/>
    <w:rsid w:val="00012C1D"/>
    <w:rsid w:val="0001317B"/>
    <w:rsid w:val="00014A8C"/>
    <w:rsid w:val="00014FCB"/>
    <w:rsid w:val="00015CBB"/>
    <w:rsid w:val="000161E0"/>
    <w:rsid w:val="000175BE"/>
    <w:rsid w:val="00020E58"/>
    <w:rsid w:val="00021765"/>
    <w:rsid w:val="00021A05"/>
    <w:rsid w:val="00021B7C"/>
    <w:rsid w:val="00024EB0"/>
    <w:rsid w:val="00027E92"/>
    <w:rsid w:val="000324D0"/>
    <w:rsid w:val="00034D48"/>
    <w:rsid w:val="00037DBA"/>
    <w:rsid w:val="00041129"/>
    <w:rsid w:val="000420D2"/>
    <w:rsid w:val="000437E7"/>
    <w:rsid w:val="000440FF"/>
    <w:rsid w:val="00044434"/>
    <w:rsid w:val="00044990"/>
    <w:rsid w:val="00045213"/>
    <w:rsid w:val="00047577"/>
    <w:rsid w:val="000478B7"/>
    <w:rsid w:val="0005190C"/>
    <w:rsid w:val="0005235B"/>
    <w:rsid w:val="000527DD"/>
    <w:rsid w:val="000530ED"/>
    <w:rsid w:val="000547D8"/>
    <w:rsid w:val="00057793"/>
    <w:rsid w:val="00057B90"/>
    <w:rsid w:val="0006033A"/>
    <w:rsid w:val="00060441"/>
    <w:rsid w:val="00060CD1"/>
    <w:rsid w:val="0006125F"/>
    <w:rsid w:val="00062D53"/>
    <w:rsid w:val="000638F1"/>
    <w:rsid w:val="00065405"/>
    <w:rsid w:val="00065453"/>
    <w:rsid w:val="000717DB"/>
    <w:rsid w:val="0007268D"/>
    <w:rsid w:val="00073EC3"/>
    <w:rsid w:val="0007487E"/>
    <w:rsid w:val="00075738"/>
    <w:rsid w:val="00076C6E"/>
    <w:rsid w:val="0008010D"/>
    <w:rsid w:val="000804EC"/>
    <w:rsid w:val="00082D29"/>
    <w:rsid w:val="00083A61"/>
    <w:rsid w:val="00084BC3"/>
    <w:rsid w:val="00085D3C"/>
    <w:rsid w:val="000864C8"/>
    <w:rsid w:val="000868EA"/>
    <w:rsid w:val="00087126"/>
    <w:rsid w:val="00090635"/>
    <w:rsid w:val="0009171D"/>
    <w:rsid w:val="0009235D"/>
    <w:rsid w:val="000938F1"/>
    <w:rsid w:val="0009572E"/>
    <w:rsid w:val="00097915"/>
    <w:rsid w:val="000A0992"/>
    <w:rsid w:val="000A0C80"/>
    <w:rsid w:val="000A4423"/>
    <w:rsid w:val="000A44E8"/>
    <w:rsid w:val="000A567B"/>
    <w:rsid w:val="000A5DF3"/>
    <w:rsid w:val="000A6A8D"/>
    <w:rsid w:val="000A71BE"/>
    <w:rsid w:val="000A77E5"/>
    <w:rsid w:val="000B04D4"/>
    <w:rsid w:val="000B34DC"/>
    <w:rsid w:val="000B3931"/>
    <w:rsid w:val="000B4328"/>
    <w:rsid w:val="000B46A8"/>
    <w:rsid w:val="000B4D73"/>
    <w:rsid w:val="000B4F7C"/>
    <w:rsid w:val="000B6EAD"/>
    <w:rsid w:val="000C0151"/>
    <w:rsid w:val="000C09B6"/>
    <w:rsid w:val="000C20F4"/>
    <w:rsid w:val="000C4E81"/>
    <w:rsid w:val="000C4FCF"/>
    <w:rsid w:val="000C66B3"/>
    <w:rsid w:val="000C79ED"/>
    <w:rsid w:val="000D0453"/>
    <w:rsid w:val="000D4C4F"/>
    <w:rsid w:val="000D4DA6"/>
    <w:rsid w:val="000D51DA"/>
    <w:rsid w:val="000D5AD4"/>
    <w:rsid w:val="000D671B"/>
    <w:rsid w:val="000D6C63"/>
    <w:rsid w:val="000E26D2"/>
    <w:rsid w:val="000E3D42"/>
    <w:rsid w:val="000E4402"/>
    <w:rsid w:val="000E4E0B"/>
    <w:rsid w:val="000E59D2"/>
    <w:rsid w:val="000E614B"/>
    <w:rsid w:val="000E6855"/>
    <w:rsid w:val="000E6C04"/>
    <w:rsid w:val="000F06B0"/>
    <w:rsid w:val="000F4102"/>
    <w:rsid w:val="000F7787"/>
    <w:rsid w:val="001013AE"/>
    <w:rsid w:val="00101B2D"/>
    <w:rsid w:val="00102894"/>
    <w:rsid w:val="001039F3"/>
    <w:rsid w:val="00103A94"/>
    <w:rsid w:val="00103D29"/>
    <w:rsid w:val="0010580C"/>
    <w:rsid w:val="001063BF"/>
    <w:rsid w:val="00106B09"/>
    <w:rsid w:val="00106F4A"/>
    <w:rsid w:val="001113AA"/>
    <w:rsid w:val="001113BD"/>
    <w:rsid w:val="00111CF7"/>
    <w:rsid w:val="00112A29"/>
    <w:rsid w:val="001157D5"/>
    <w:rsid w:val="00115D80"/>
    <w:rsid w:val="00115E27"/>
    <w:rsid w:val="00121C96"/>
    <w:rsid w:val="001222D4"/>
    <w:rsid w:val="00122D19"/>
    <w:rsid w:val="0012321C"/>
    <w:rsid w:val="001244EF"/>
    <w:rsid w:val="00125AEA"/>
    <w:rsid w:val="00125D5E"/>
    <w:rsid w:val="001303C6"/>
    <w:rsid w:val="001309BA"/>
    <w:rsid w:val="00131948"/>
    <w:rsid w:val="00134DB8"/>
    <w:rsid w:val="001357C0"/>
    <w:rsid w:val="00136DC4"/>
    <w:rsid w:val="0014038F"/>
    <w:rsid w:val="00140F70"/>
    <w:rsid w:val="0014112F"/>
    <w:rsid w:val="00141882"/>
    <w:rsid w:val="001430A6"/>
    <w:rsid w:val="001434C0"/>
    <w:rsid w:val="0014434E"/>
    <w:rsid w:val="00145067"/>
    <w:rsid w:val="0014512D"/>
    <w:rsid w:val="0014590B"/>
    <w:rsid w:val="00145D3A"/>
    <w:rsid w:val="001477D7"/>
    <w:rsid w:val="00147F01"/>
    <w:rsid w:val="0015073D"/>
    <w:rsid w:val="00151398"/>
    <w:rsid w:val="00151BAC"/>
    <w:rsid w:val="001544A1"/>
    <w:rsid w:val="0015510E"/>
    <w:rsid w:val="0015553E"/>
    <w:rsid w:val="00157C92"/>
    <w:rsid w:val="00162A34"/>
    <w:rsid w:val="00163741"/>
    <w:rsid w:val="001637D3"/>
    <w:rsid w:val="00164635"/>
    <w:rsid w:val="00165F51"/>
    <w:rsid w:val="001667E8"/>
    <w:rsid w:val="001674D6"/>
    <w:rsid w:val="001677F1"/>
    <w:rsid w:val="00171A66"/>
    <w:rsid w:val="00171F93"/>
    <w:rsid w:val="001730E8"/>
    <w:rsid w:val="00175883"/>
    <w:rsid w:val="00175DD2"/>
    <w:rsid w:val="00176ED2"/>
    <w:rsid w:val="0017752F"/>
    <w:rsid w:val="00177B3F"/>
    <w:rsid w:val="001807BF"/>
    <w:rsid w:val="001829FD"/>
    <w:rsid w:val="00183240"/>
    <w:rsid w:val="00183E93"/>
    <w:rsid w:val="0018417F"/>
    <w:rsid w:val="00184C9A"/>
    <w:rsid w:val="00190C05"/>
    <w:rsid w:val="001911BD"/>
    <w:rsid w:val="001926B9"/>
    <w:rsid w:val="001939C6"/>
    <w:rsid w:val="00196416"/>
    <w:rsid w:val="001A0ACC"/>
    <w:rsid w:val="001A15A5"/>
    <w:rsid w:val="001A38A1"/>
    <w:rsid w:val="001A55BE"/>
    <w:rsid w:val="001A75D1"/>
    <w:rsid w:val="001B04B8"/>
    <w:rsid w:val="001B1790"/>
    <w:rsid w:val="001B1DFA"/>
    <w:rsid w:val="001B263E"/>
    <w:rsid w:val="001B3CEB"/>
    <w:rsid w:val="001B50D7"/>
    <w:rsid w:val="001B7A3A"/>
    <w:rsid w:val="001C33BE"/>
    <w:rsid w:val="001C3DAA"/>
    <w:rsid w:val="001C3EDE"/>
    <w:rsid w:val="001C6961"/>
    <w:rsid w:val="001D0D87"/>
    <w:rsid w:val="001D1129"/>
    <w:rsid w:val="001D14F5"/>
    <w:rsid w:val="001D253C"/>
    <w:rsid w:val="001D3159"/>
    <w:rsid w:val="001D72FA"/>
    <w:rsid w:val="001E06DA"/>
    <w:rsid w:val="001E0D78"/>
    <w:rsid w:val="001E3C97"/>
    <w:rsid w:val="001E6D89"/>
    <w:rsid w:val="001F0564"/>
    <w:rsid w:val="001F103E"/>
    <w:rsid w:val="001F1428"/>
    <w:rsid w:val="001F2176"/>
    <w:rsid w:val="001F51F0"/>
    <w:rsid w:val="001F67F0"/>
    <w:rsid w:val="001F6CF2"/>
    <w:rsid w:val="00200638"/>
    <w:rsid w:val="002015B3"/>
    <w:rsid w:val="002017A6"/>
    <w:rsid w:val="00203309"/>
    <w:rsid w:val="00204BB1"/>
    <w:rsid w:val="002062CC"/>
    <w:rsid w:val="002103A0"/>
    <w:rsid w:val="00210661"/>
    <w:rsid w:val="00212843"/>
    <w:rsid w:val="00215616"/>
    <w:rsid w:val="0021623C"/>
    <w:rsid w:val="00217170"/>
    <w:rsid w:val="00217376"/>
    <w:rsid w:val="00217906"/>
    <w:rsid w:val="0022147D"/>
    <w:rsid w:val="00222F1A"/>
    <w:rsid w:val="00223CC2"/>
    <w:rsid w:val="0023480B"/>
    <w:rsid w:val="00234CC2"/>
    <w:rsid w:val="00237E7A"/>
    <w:rsid w:val="002408BF"/>
    <w:rsid w:val="00240BD0"/>
    <w:rsid w:val="002421BB"/>
    <w:rsid w:val="00246080"/>
    <w:rsid w:val="0024697B"/>
    <w:rsid w:val="0025138D"/>
    <w:rsid w:val="002513A2"/>
    <w:rsid w:val="0025153D"/>
    <w:rsid w:val="00253443"/>
    <w:rsid w:val="0025471A"/>
    <w:rsid w:val="00254CF2"/>
    <w:rsid w:val="00257CF6"/>
    <w:rsid w:val="00260653"/>
    <w:rsid w:val="002618C5"/>
    <w:rsid w:val="00261DA2"/>
    <w:rsid w:val="00266F0E"/>
    <w:rsid w:val="0026704A"/>
    <w:rsid w:val="0027116F"/>
    <w:rsid w:val="00271A13"/>
    <w:rsid w:val="00272030"/>
    <w:rsid w:val="00273532"/>
    <w:rsid w:val="002735F4"/>
    <w:rsid w:val="00274642"/>
    <w:rsid w:val="002746A2"/>
    <w:rsid w:val="00281D09"/>
    <w:rsid w:val="002839DA"/>
    <w:rsid w:val="00284AFD"/>
    <w:rsid w:val="002862FD"/>
    <w:rsid w:val="00287704"/>
    <w:rsid w:val="00290ECC"/>
    <w:rsid w:val="002912DB"/>
    <w:rsid w:val="0029232E"/>
    <w:rsid w:val="002928D9"/>
    <w:rsid w:val="002965EA"/>
    <w:rsid w:val="002A01ED"/>
    <w:rsid w:val="002A41CE"/>
    <w:rsid w:val="002A5B3A"/>
    <w:rsid w:val="002A76E0"/>
    <w:rsid w:val="002A7803"/>
    <w:rsid w:val="002B0DAE"/>
    <w:rsid w:val="002B1859"/>
    <w:rsid w:val="002B2A01"/>
    <w:rsid w:val="002B4E99"/>
    <w:rsid w:val="002B6162"/>
    <w:rsid w:val="002C04B7"/>
    <w:rsid w:val="002C0C94"/>
    <w:rsid w:val="002C0EDA"/>
    <w:rsid w:val="002C175C"/>
    <w:rsid w:val="002C2042"/>
    <w:rsid w:val="002C2742"/>
    <w:rsid w:val="002C4B91"/>
    <w:rsid w:val="002C4D3B"/>
    <w:rsid w:val="002D0AD1"/>
    <w:rsid w:val="002D4593"/>
    <w:rsid w:val="002D5BE7"/>
    <w:rsid w:val="002D6DBA"/>
    <w:rsid w:val="002E0087"/>
    <w:rsid w:val="002E1007"/>
    <w:rsid w:val="002E364D"/>
    <w:rsid w:val="002E3DE0"/>
    <w:rsid w:val="002E44E3"/>
    <w:rsid w:val="002E5133"/>
    <w:rsid w:val="002E7225"/>
    <w:rsid w:val="002F0BEE"/>
    <w:rsid w:val="002F1086"/>
    <w:rsid w:val="002F22DB"/>
    <w:rsid w:val="002F60FE"/>
    <w:rsid w:val="00301E68"/>
    <w:rsid w:val="0030283C"/>
    <w:rsid w:val="00302ABE"/>
    <w:rsid w:val="00303E50"/>
    <w:rsid w:val="00304991"/>
    <w:rsid w:val="00304FB2"/>
    <w:rsid w:val="00305793"/>
    <w:rsid w:val="00310D35"/>
    <w:rsid w:val="003113F2"/>
    <w:rsid w:val="00311CB4"/>
    <w:rsid w:val="003121EB"/>
    <w:rsid w:val="00312413"/>
    <w:rsid w:val="00312950"/>
    <w:rsid w:val="003230D1"/>
    <w:rsid w:val="0032345D"/>
    <w:rsid w:val="003245D3"/>
    <w:rsid w:val="0032492F"/>
    <w:rsid w:val="00324A8A"/>
    <w:rsid w:val="003270AA"/>
    <w:rsid w:val="0033113F"/>
    <w:rsid w:val="003360D2"/>
    <w:rsid w:val="00337525"/>
    <w:rsid w:val="0033794B"/>
    <w:rsid w:val="00341468"/>
    <w:rsid w:val="00342547"/>
    <w:rsid w:val="00342D73"/>
    <w:rsid w:val="00344048"/>
    <w:rsid w:val="00344FA6"/>
    <w:rsid w:val="003500D8"/>
    <w:rsid w:val="00350DA6"/>
    <w:rsid w:val="00351902"/>
    <w:rsid w:val="00351BA6"/>
    <w:rsid w:val="0035251E"/>
    <w:rsid w:val="003534C0"/>
    <w:rsid w:val="00354FD0"/>
    <w:rsid w:val="00357E5A"/>
    <w:rsid w:val="00360F61"/>
    <w:rsid w:val="00363649"/>
    <w:rsid w:val="00365938"/>
    <w:rsid w:val="00367838"/>
    <w:rsid w:val="00370032"/>
    <w:rsid w:val="00370EA4"/>
    <w:rsid w:val="0037158D"/>
    <w:rsid w:val="00371634"/>
    <w:rsid w:val="003739B7"/>
    <w:rsid w:val="00373A8D"/>
    <w:rsid w:val="00373BED"/>
    <w:rsid w:val="00376D23"/>
    <w:rsid w:val="00377D19"/>
    <w:rsid w:val="00382449"/>
    <w:rsid w:val="00384A19"/>
    <w:rsid w:val="00384D88"/>
    <w:rsid w:val="00385AAD"/>
    <w:rsid w:val="00386D34"/>
    <w:rsid w:val="0038785C"/>
    <w:rsid w:val="0039065B"/>
    <w:rsid w:val="0039067B"/>
    <w:rsid w:val="00391AFD"/>
    <w:rsid w:val="00393FF4"/>
    <w:rsid w:val="00394B0B"/>
    <w:rsid w:val="00396286"/>
    <w:rsid w:val="003A16F7"/>
    <w:rsid w:val="003A4E2A"/>
    <w:rsid w:val="003A6A89"/>
    <w:rsid w:val="003A750B"/>
    <w:rsid w:val="003B063B"/>
    <w:rsid w:val="003B1B6C"/>
    <w:rsid w:val="003B2D47"/>
    <w:rsid w:val="003B4E18"/>
    <w:rsid w:val="003B577A"/>
    <w:rsid w:val="003B5AED"/>
    <w:rsid w:val="003B6574"/>
    <w:rsid w:val="003B682D"/>
    <w:rsid w:val="003B7546"/>
    <w:rsid w:val="003C003B"/>
    <w:rsid w:val="003C2EF1"/>
    <w:rsid w:val="003C356D"/>
    <w:rsid w:val="003C5FBC"/>
    <w:rsid w:val="003D100E"/>
    <w:rsid w:val="003D1D42"/>
    <w:rsid w:val="003D295A"/>
    <w:rsid w:val="003D3786"/>
    <w:rsid w:val="003D4E6F"/>
    <w:rsid w:val="003D6332"/>
    <w:rsid w:val="003D7D3A"/>
    <w:rsid w:val="003E01D0"/>
    <w:rsid w:val="003E1AE6"/>
    <w:rsid w:val="003E2193"/>
    <w:rsid w:val="003E3D16"/>
    <w:rsid w:val="003E59BB"/>
    <w:rsid w:val="003E59F9"/>
    <w:rsid w:val="003E5B92"/>
    <w:rsid w:val="003E6DB7"/>
    <w:rsid w:val="003E74F4"/>
    <w:rsid w:val="003F0082"/>
    <w:rsid w:val="003F081A"/>
    <w:rsid w:val="003F4283"/>
    <w:rsid w:val="003F468C"/>
    <w:rsid w:val="003F68EB"/>
    <w:rsid w:val="003F69EC"/>
    <w:rsid w:val="003F7877"/>
    <w:rsid w:val="00404683"/>
    <w:rsid w:val="00404752"/>
    <w:rsid w:val="00405236"/>
    <w:rsid w:val="00407253"/>
    <w:rsid w:val="0041246B"/>
    <w:rsid w:val="004133E5"/>
    <w:rsid w:val="004139D9"/>
    <w:rsid w:val="004148AB"/>
    <w:rsid w:val="00414915"/>
    <w:rsid w:val="00414F7E"/>
    <w:rsid w:val="004154C2"/>
    <w:rsid w:val="004177E7"/>
    <w:rsid w:val="00420CCA"/>
    <w:rsid w:val="00423E48"/>
    <w:rsid w:val="00424134"/>
    <w:rsid w:val="00424628"/>
    <w:rsid w:val="00426C23"/>
    <w:rsid w:val="0043286E"/>
    <w:rsid w:val="004339B5"/>
    <w:rsid w:val="004373CC"/>
    <w:rsid w:val="0043743E"/>
    <w:rsid w:val="00440805"/>
    <w:rsid w:val="004408B3"/>
    <w:rsid w:val="00442537"/>
    <w:rsid w:val="004440AB"/>
    <w:rsid w:val="00444689"/>
    <w:rsid w:val="00445F46"/>
    <w:rsid w:val="004470D3"/>
    <w:rsid w:val="004507DD"/>
    <w:rsid w:val="00455AEA"/>
    <w:rsid w:val="004564BB"/>
    <w:rsid w:val="00456926"/>
    <w:rsid w:val="004576C2"/>
    <w:rsid w:val="00461337"/>
    <w:rsid w:val="00461A4A"/>
    <w:rsid w:val="00461FC6"/>
    <w:rsid w:val="004631C6"/>
    <w:rsid w:val="0046334D"/>
    <w:rsid w:val="0046447E"/>
    <w:rsid w:val="00464715"/>
    <w:rsid w:val="00465653"/>
    <w:rsid w:val="004659B4"/>
    <w:rsid w:val="00465F82"/>
    <w:rsid w:val="00471625"/>
    <w:rsid w:val="00471B93"/>
    <w:rsid w:val="00472EAE"/>
    <w:rsid w:val="004771E2"/>
    <w:rsid w:val="00482706"/>
    <w:rsid w:val="00483532"/>
    <w:rsid w:val="004877A3"/>
    <w:rsid w:val="004935CB"/>
    <w:rsid w:val="004939FC"/>
    <w:rsid w:val="00494013"/>
    <w:rsid w:val="00496BE3"/>
    <w:rsid w:val="00496C38"/>
    <w:rsid w:val="00497115"/>
    <w:rsid w:val="004972DD"/>
    <w:rsid w:val="004A02FB"/>
    <w:rsid w:val="004A12A0"/>
    <w:rsid w:val="004A2CC0"/>
    <w:rsid w:val="004A3BAA"/>
    <w:rsid w:val="004A440B"/>
    <w:rsid w:val="004A4D63"/>
    <w:rsid w:val="004A65C9"/>
    <w:rsid w:val="004A676C"/>
    <w:rsid w:val="004A6EE8"/>
    <w:rsid w:val="004B325B"/>
    <w:rsid w:val="004B3539"/>
    <w:rsid w:val="004C0531"/>
    <w:rsid w:val="004C248E"/>
    <w:rsid w:val="004C30E8"/>
    <w:rsid w:val="004C4EEC"/>
    <w:rsid w:val="004C5DE5"/>
    <w:rsid w:val="004C7D3E"/>
    <w:rsid w:val="004D0184"/>
    <w:rsid w:val="004D202A"/>
    <w:rsid w:val="004D2085"/>
    <w:rsid w:val="004D2C7C"/>
    <w:rsid w:val="004D37E7"/>
    <w:rsid w:val="004D6ED8"/>
    <w:rsid w:val="004E0CE5"/>
    <w:rsid w:val="004E1346"/>
    <w:rsid w:val="004E334C"/>
    <w:rsid w:val="004E69C4"/>
    <w:rsid w:val="004E7416"/>
    <w:rsid w:val="004E7AC3"/>
    <w:rsid w:val="004F22AA"/>
    <w:rsid w:val="004F3E6D"/>
    <w:rsid w:val="004F41C2"/>
    <w:rsid w:val="004F552C"/>
    <w:rsid w:val="004F7BF4"/>
    <w:rsid w:val="004F7DB2"/>
    <w:rsid w:val="0050025A"/>
    <w:rsid w:val="00505AA7"/>
    <w:rsid w:val="005075D2"/>
    <w:rsid w:val="005078A0"/>
    <w:rsid w:val="0051399D"/>
    <w:rsid w:val="00514215"/>
    <w:rsid w:val="00514653"/>
    <w:rsid w:val="00514837"/>
    <w:rsid w:val="0051750F"/>
    <w:rsid w:val="005201AD"/>
    <w:rsid w:val="0052679B"/>
    <w:rsid w:val="0053022F"/>
    <w:rsid w:val="00531521"/>
    <w:rsid w:val="0053295B"/>
    <w:rsid w:val="00534069"/>
    <w:rsid w:val="005340ED"/>
    <w:rsid w:val="00535162"/>
    <w:rsid w:val="005351C4"/>
    <w:rsid w:val="00536B02"/>
    <w:rsid w:val="00540C63"/>
    <w:rsid w:val="005411C8"/>
    <w:rsid w:val="00541BAC"/>
    <w:rsid w:val="00541D75"/>
    <w:rsid w:val="005427CC"/>
    <w:rsid w:val="00545206"/>
    <w:rsid w:val="00550BC1"/>
    <w:rsid w:val="00552660"/>
    <w:rsid w:val="005573ED"/>
    <w:rsid w:val="005606C0"/>
    <w:rsid w:val="00563A32"/>
    <w:rsid w:val="0056444C"/>
    <w:rsid w:val="00566163"/>
    <w:rsid w:val="00566437"/>
    <w:rsid w:val="00566E4D"/>
    <w:rsid w:val="005674A2"/>
    <w:rsid w:val="005712F8"/>
    <w:rsid w:val="005719BB"/>
    <w:rsid w:val="00572841"/>
    <w:rsid w:val="00580302"/>
    <w:rsid w:val="0058205E"/>
    <w:rsid w:val="00582528"/>
    <w:rsid w:val="00582713"/>
    <w:rsid w:val="00582FFD"/>
    <w:rsid w:val="0059211C"/>
    <w:rsid w:val="00594191"/>
    <w:rsid w:val="00594FAD"/>
    <w:rsid w:val="00597060"/>
    <w:rsid w:val="005A0A19"/>
    <w:rsid w:val="005A10F1"/>
    <w:rsid w:val="005A265A"/>
    <w:rsid w:val="005A2B94"/>
    <w:rsid w:val="005A4126"/>
    <w:rsid w:val="005A423E"/>
    <w:rsid w:val="005A6AEF"/>
    <w:rsid w:val="005A7075"/>
    <w:rsid w:val="005B06A7"/>
    <w:rsid w:val="005C07CB"/>
    <w:rsid w:val="005C0CC1"/>
    <w:rsid w:val="005C2642"/>
    <w:rsid w:val="005C3C54"/>
    <w:rsid w:val="005C562E"/>
    <w:rsid w:val="005C5C47"/>
    <w:rsid w:val="005C5D9F"/>
    <w:rsid w:val="005D0297"/>
    <w:rsid w:val="005D13BC"/>
    <w:rsid w:val="005D4939"/>
    <w:rsid w:val="005D4B89"/>
    <w:rsid w:val="005D54F8"/>
    <w:rsid w:val="005D5B18"/>
    <w:rsid w:val="005D7983"/>
    <w:rsid w:val="005E0866"/>
    <w:rsid w:val="005E2133"/>
    <w:rsid w:val="005E3BFC"/>
    <w:rsid w:val="005E6E76"/>
    <w:rsid w:val="005E75EC"/>
    <w:rsid w:val="005E7D8B"/>
    <w:rsid w:val="005F1BE5"/>
    <w:rsid w:val="005F56EB"/>
    <w:rsid w:val="005F577B"/>
    <w:rsid w:val="005F6048"/>
    <w:rsid w:val="005F7F0C"/>
    <w:rsid w:val="00600BCC"/>
    <w:rsid w:val="00600EA6"/>
    <w:rsid w:val="00602D7E"/>
    <w:rsid w:val="006033C5"/>
    <w:rsid w:val="00603415"/>
    <w:rsid w:val="00604500"/>
    <w:rsid w:val="00605081"/>
    <w:rsid w:val="00611565"/>
    <w:rsid w:val="00614C2E"/>
    <w:rsid w:val="00614DE3"/>
    <w:rsid w:val="00615FFA"/>
    <w:rsid w:val="006162B5"/>
    <w:rsid w:val="00622928"/>
    <w:rsid w:val="00623B28"/>
    <w:rsid w:val="006253C8"/>
    <w:rsid w:val="00630D57"/>
    <w:rsid w:val="00631495"/>
    <w:rsid w:val="00632F72"/>
    <w:rsid w:val="00633613"/>
    <w:rsid w:val="006349D0"/>
    <w:rsid w:val="00635440"/>
    <w:rsid w:val="006355F5"/>
    <w:rsid w:val="00636506"/>
    <w:rsid w:val="00636857"/>
    <w:rsid w:val="00636F89"/>
    <w:rsid w:val="006373D7"/>
    <w:rsid w:val="006417E5"/>
    <w:rsid w:val="00642385"/>
    <w:rsid w:val="006431FE"/>
    <w:rsid w:val="006461FB"/>
    <w:rsid w:val="00646C67"/>
    <w:rsid w:val="006473C7"/>
    <w:rsid w:val="00651537"/>
    <w:rsid w:val="0065383A"/>
    <w:rsid w:val="006558B4"/>
    <w:rsid w:val="00657086"/>
    <w:rsid w:val="00657CC7"/>
    <w:rsid w:val="00662EED"/>
    <w:rsid w:val="00663092"/>
    <w:rsid w:val="00665FF1"/>
    <w:rsid w:val="006668E1"/>
    <w:rsid w:val="006718A4"/>
    <w:rsid w:val="00671D16"/>
    <w:rsid w:val="00671FED"/>
    <w:rsid w:val="0067338B"/>
    <w:rsid w:val="00674605"/>
    <w:rsid w:val="00675D03"/>
    <w:rsid w:val="00676956"/>
    <w:rsid w:val="006772B1"/>
    <w:rsid w:val="006779B7"/>
    <w:rsid w:val="00683432"/>
    <w:rsid w:val="00690120"/>
    <w:rsid w:val="006907D5"/>
    <w:rsid w:val="00692CE8"/>
    <w:rsid w:val="00693E6B"/>
    <w:rsid w:val="0069487D"/>
    <w:rsid w:val="006952A3"/>
    <w:rsid w:val="00697E73"/>
    <w:rsid w:val="006A0B16"/>
    <w:rsid w:val="006A2763"/>
    <w:rsid w:val="006A343D"/>
    <w:rsid w:val="006A3573"/>
    <w:rsid w:val="006A5267"/>
    <w:rsid w:val="006A6768"/>
    <w:rsid w:val="006A67AF"/>
    <w:rsid w:val="006A6C11"/>
    <w:rsid w:val="006B04C7"/>
    <w:rsid w:val="006B06C8"/>
    <w:rsid w:val="006B094E"/>
    <w:rsid w:val="006B0C39"/>
    <w:rsid w:val="006B178E"/>
    <w:rsid w:val="006B1EC7"/>
    <w:rsid w:val="006B3540"/>
    <w:rsid w:val="006B42F6"/>
    <w:rsid w:val="006B4E2D"/>
    <w:rsid w:val="006B7CEC"/>
    <w:rsid w:val="006C2000"/>
    <w:rsid w:val="006C2AF2"/>
    <w:rsid w:val="006C763B"/>
    <w:rsid w:val="006C7E0F"/>
    <w:rsid w:val="006D0B0D"/>
    <w:rsid w:val="006D18AB"/>
    <w:rsid w:val="006D3D7E"/>
    <w:rsid w:val="006D458F"/>
    <w:rsid w:val="006D5E59"/>
    <w:rsid w:val="006D6012"/>
    <w:rsid w:val="006D693B"/>
    <w:rsid w:val="006E2474"/>
    <w:rsid w:val="006E4BD7"/>
    <w:rsid w:val="006E580B"/>
    <w:rsid w:val="006E6C0A"/>
    <w:rsid w:val="006E7818"/>
    <w:rsid w:val="006F0132"/>
    <w:rsid w:val="006F21DB"/>
    <w:rsid w:val="006F5873"/>
    <w:rsid w:val="006F5976"/>
    <w:rsid w:val="006F60FA"/>
    <w:rsid w:val="006F79E7"/>
    <w:rsid w:val="007035B7"/>
    <w:rsid w:val="00705FC9"/>
    <w:rsid w:val="0070646C"/>
    <w:rsid w:val="00710589"/>
    <w:rsid w:val="00712521"/>
    <w:rsid w:val="00714113"/>
    <w:rsid w:val="0071566E"/>
    <w:rsid w:val="00715924"/>
    <w:rsid w:val="00715F92"/>
    <w:rsid w:val="00717AEC"/>
    <w:rsid w:val="00726F75"/>
    <w:rsid w:val="00727170"/>
    <w:rsid w:val="00727246"/>
    <w:rsid w:val="0072761B"/>
    <w:rsid w:val="00731966"/>
    <w:rsid w:val="00731E8D"/>
    <w:rsid w:val="00731F9A"/>
    <w:rsid w:val="0073256E"/>
    <w:rsid w:val="00732748"/>
    <w:rsid w:val="00734C59"/>
    <w:rsid w:val="00734CA7"/>
    <w:rsid w:val="00736329"/>
    <w:rsid w:val="00743F77"/>
    <w:rsid w:val="007442B1"/>
    <w:rsid w:val="00745F8D"/>
    <w:rsid w:val="00746353"/>
    <w:rsid w:val="007474AC"/>
    <w:rsid w:val="00747A90"/>
    <w:rsid w:val="00751B4E"/>
    <w:rsid w:val="00752710"/>
    <w:rsid w:val="00752763"/>
    <w:rsid w:val="00753863"/>
    <w:rsid w:val="0075390F"/>
    <w:rsid w:val="007542B0"/>
    <w:rsid w:val="0075710C"/>
    <w:rsid w:val="007577BA"/>
    <w:rsid w:val="00757C48"/>
    <w:rsid w:val="00763302"/>
    <w:rsid w:val="00763D79"/>
    <w:rsid w:val="0076567B"/>
    <w:rsid w:val="0076608F"/>
    <w:rsid w:val="0076679B"/>
    <w:rsid w:val="00772ECF"/>
    <w:rsid w:val="00772F57"/>
    <w:rsid w:val="007733A6"/>
    <w:rsid w:val="00773F25"/>
    <w:rsid w:val="007741F7"/>
    <w:rsid w:val="00775A1B"/>
    <w:rsid w:val="00775F34"/>
    <w:rsid w:val="00776F0E"/>
    <w:rsid w:val="007771EB"/>
    <w:rsid w:val="00782861"/>
    <w:rsid w:val="007876EB"/>
    <w:rsid w:val="00787893"/>
    <w:rsid w:val="007907BC"/>
    <w:rsid w:val="00790D26"/>
    <w:rsid w:val="00792AF2"/>
    <w:rsid w:val="00793691"/>
    <w:rsid w:val="00794E97"/>
    <w:rsid w:val="00796A3F"/>
    <w:rsid w:val="007A031C"/>
    <w:rsid w:val="007A137D"/>
    <w:rsid w:val="007A3919"/>
    <w:rsid w:val="007A5108"/>
    <w:rsid w:val="007A52F5"/>
    <w:rsid w:val="007A646D"/>
    <w:rsid w:val="007A70B1"/>
    <w:rsid w:val="007A71DC"/>
    <w:rsid w:val="007A7A15"/>
    <w:rsid w:val="007B2137"/>
    <w:rsid w:val="007B4071"/>
    <w:rsid w:val="007B4AF0"/>
    <w:rsid w:val="007B5959"/>
    <w:rsid w:val="007B5C45"/>
    <w:rsid w:val="007B69B1"/>
    <w:rsid w:val="007B7DD6"/>
    <w:rsid w:val="007B7FD1"/>
    <w:rsid w:val="007C0A7D"/>
    <w:rsid w:val="007C1E62"/>
    <w:rsid w:val="007C1EB3"/>
    <w:rsid w:val="007C2262"/>
    <w:rsid w:val="007C42E0"/>
    <w:rsid w:val="007C5262"/>
    <w:rsid w:val="007C7400"/>
    <w:rsid w:val="007D0F40"/>
    <w:rsid w:val="007D12D6"/>
    <w:rsid w:val="007D1EB4"/>
    <w:rsid w:val="007D2378"/>
    <w:rsid w:val="007D24CB"/>
    <w:rsid w:val="007D44E4"/>
    <w:rsid w:val="007D4FC6"/>
    <w:rsid w:val="007D55B4"/>
    <w:rsid w:val="007D77AF"/>
    <w:rsid w:val="007D7CB4"/>
    <w:rsid w:val="007E0CAA"/>
    <w:rsid w:val="007E15B1"/>
    <w:rsid w:val="007E15C2"/>
    <w:rsid w:val="007E19B0"/>
    <w:rsid w:val="007E3322"/>
    <w:rsid w:val="007E4DE5"/>
    <w:rsid w:val="007F02DF"/>
    <w:rsid w:val="007F0D4F"/>
    <w:rsid w:val="007F2501"/>
    <w:rsid w:val="007F41D9"/>
    <w:rsid w:val="007F4EA4"/>
    <w:rsid w:val="007F4FE6"/>
    <w:rsid w:val="007F6A9D"/>
    <w:rsid w:val="007F79A6"/>
    <w:rsid w:val="0080162A"/>
    <w:rsid w:val="008019E4"/>
    <w:rsid w:val="008020D7"/>
    <w:rsid w:val="008021BA"/>
    <w:rsid w:val="008037B1"/>
    <w:rsid w:val="008039A3"/>
    <w:rsid w:val="00804F24"/>
    <w:rsid w:val="00806068"/>
    <w:rsid w:val="008073AB"/>
    <w:rsid w:val="008079BB"/>
    <w:rsid w:val="00807FC6"/>
    <w:rsid w:val="00814BDD"/>
    <w:rsid w:val="00815AD2"/>
    <w:rsid w:val="00815E38"/>
    <w:rsid w:val="00815ECC"/>
    <w:rsid w:val="008164E3"/>
    <w:rsid w:val="00816D61"/>
    <w:rsid w:val="0081704D"/>
    <w:rsid w:val="008170D1"/>
    <w:rsid w:val="0082173E"/>
    <w:rsid w:val="00822F92"/>
    <w:rsid w:val="00824318"/>
    <w:rsid w:val="00824AE1"/>
    <w:rsid w:val="00826540"/>
    <w:rsid w:val="00827591"/>
    <w:rsid w:val="0083007C"/>
    <w:rsid w:val="0083193E"/>
    <w:rsid w:val="008327EF"/>
    <w:rsid w:val="00832D1E"/>
    <w:rsid w:val="00833C3B"/>
    <w:rsid w:val="0083487E"/>
    <w:rsid w:val="00835858"/>
    <w:rsid w:val="00835E4E"/>
    <w:rsid w:val="00837477"/>
    <w:rsid w:val="0083751E"/>
    <w:rsid w:val="008408D3"/>
    <w:rsid w:val="00847598"/>
    <w:rsid w:val="00850E89"/>
    <w:rsid w:val="00851019"/>
    <w:rsid w:val="00852852"/>
    <w:rsid w:val="00853A17"/>
    <w:rsid w:val="00860C19"/>
    <w:rsid w:val="00862C2D"/>
    <w:rsid w:val="008673B1"/>
    <w:rsid w:val="00867425"/>
    <w:rsid w:val="00871296"/>
    <w:rsid w:val="00874609"/>
    <w:rsid w:val="008841A0"/>
    <w:rsid w:val="0089061C"/>
    <w:rsid w:val="00893A35"/>
    <w:rsid w:val="00896565"/>
    <w:rsid w:val="00897250"/>
    <w:rsid w:val="008A083E"/>
    <w:rsid w:val="008A0ADD"/>
    <w:rsid w:val="008A218F"/>
    <w:rsid w:val="008A57F3"/>
    <w:rsid w:val="008B428D"/>
    <w:rsid w:val="008B4648"/>
    <w:rsid w:val="008B47F3"/>
    <w:rsid w:val="008B4827"/>
    <w:rsid w:val="008B7FB6"/>
    <w:rsid w:val="008C1C7F"/>
    <w:rsid w:val="008C2319"/>
    <w:rsid w:val="008C3C0B"/>
    <w:rsid w:val="008C4B94"/>
    <w:rsid w:val="008C505E"/>
    <w:rsid w:val="008C514D"/>
    <w:rsid w:val="008C6914"/>
    <w:rsid w:val="008C6A3E"/>
    <w:rsid w:val="008C6B2F"/>
    <w:rsid w:val="008C7F9A"/>
    <w:rsid w:val="008D1C02"/>
    <w:rsid w:val="008D35D0"/>
    <w:rsid w:val="008D39EE"/>
    <w:rsid w:val="008D3F2B"/>
    <w:rsid w:val="008D5622"/>
    <w:rsid w:val="008D5A29"/>
    <w:rsid w:val="008D6138"/>
    <w:rsid w:val="008D657E"/>
    <w:rsid w:val="008D6D4E"/>
    <w:rsid w:val="008D754C"/>
    <w:rsid w:val="008D7B18"/>
    <w:rsid w:val="008D7ECE"/>
    <w:rsid w:val="008E27B3"/>
    <w:rsid w:val="008E3F7E"/>
    <w:rsid w:val="008E4067"/>
    <w:rsid w:val="008E514E"/>
    <w:rsid w:val="008E5877"/>
    <w:rsid w:val="008E698A"/>
    <w:rsid w:val="008E712B"/>
    <w:rsid w:val="008F1614"/>
    <w:rsid w:val="008F6202"/>
    <w:rsid w:val="009009BE"/>
    <w:rsid w:val="00900DA6"/>
    <w:rsid w:val="00901AFA"/>
    <w:rsid w:val="00902202"/>
    <w:rsid w:val="0090411B"/>
    <w:rsid w:val="00905222"/>
    <w:rsid w:val="009063A3"/>
    <w:rsid w:val="00906F12"/>
    <w:rsid w:val="00907312"/>
    <w:rsid w:val="00907972"/>
    <w:rsid w:val="00912962"/>
    <w:rsid w:val="00912AED"/>
    <w:rsid w:val="009132AA"/>
    <w:rsid w:val="0091363A"/>
    <w:rsid w:val="009136C4"/>
    <w:rsid w:val="00913F12"/>
    <w:rsid w:val="00914622"/>
    <w:rsid w:val="009147C5"/>
    <w:rsid w:val="0091495C"/>
    <w:rsid w:val="00916D6C"/>
    <w:rsid w:val="00920E1E"/>
    <w:rsid w:val="0092197E"/>
    <w:rsid w:val="00922B1C"/>
    <w:rsid w:val="009250FD"/>
    <w:rsid w:val="00927A47"/>
    <w:rsid w:val="00932273"/>
    <w:rsid w:val="00932BC8"/>
    <w:rsid w:val="00934725"/>
    <w:rsid w:val="00934A1D"/>
    <w:rsid w:val="00935202"/>
    <w:rsid w:val="009368E1"/>
    <w:rsid w:val="00936B1B"/>
    <w:rsid w:val="00940036"/>
    <w:rsid w:val="00940A10"/>
    <w:rsid w:val="00942CE9"/>
    <w:rsid w:val="009432CD"/>
    <w:rsid w:val="0094366A"/>
    <w:rsid w:val="00943BCE"/>
    <w:rsid w:val="00945742"/>
    <w:rsid w:val="00945C6E"/>
    <w:rsid w:val="00946B1F"/>
    <w:rsid w:val="00947195"/>
    <w:rsid w:val="0095033C"/>
    <w:rsid w:val="0095075A"/>
    <w:rsid w:val="00950841"/>
    <w:rsid w:val="00953BB2"/>
    <w:rsid w:val="009546AA"/>
    <w:rsid w:val="00954744"/>
    <w:rsid w:val="00955E43"/>
    <w:rsid w:val="009614F1"/>
    <w:rsid w:val="00962DB3"/>
    <w:rsid w:val="00965B7A"/>
    <w:rsid w:val="009674AB"/>
    <w:rsid w:val="0096751F"/>
    <w:rsid w:val="00971516"/>
    <w:rsid w:val="00971B4F"/>
    <w:rsid w:val="00972BBB"/>
    <w:rsid w:val="00975136"/>
    <w:rsid w:val="0097532D"/>
    <w:rsid w:val="00980208"/>
    <w:rsid w:val="0098021F"/>
    <w:rsid w:val="00980F08"/>
    <w:rsid w:val="0098657D"/>
    <w:rsid w:val="0098671A"/>
    <w:rsid w:val="00987B4A"/>
    <w:rsid w:val="00987B52"/>
    <w:rsid w:val="00994784"/>
    <w:rsid w:val="00996501"/>
    <w:rsid w:val="00996BC5"/>
    <w:rsid w:val="00997FFB"/>
    <w:rsid w:val="009A176A"/>
    <w:rsid w:val="009A25D1"/>
    <w:rsid w:val="009A27E8"/>
    <w:rsid w:val="009A2ADF"/>
    <w:rsid w:val="009A4DE2"/>
    <w:rsid w:val="009A4FE2"/>
    <w:rsid w:val="009A547C"/>
    <w:rsid w:val="009A5FF9"/>
    <w:rsid w:val="009A6BC1"/>
    <w:rsid w:val="009B1BC2"/>
    <w:rsid w:val="009B232D"/>
    <w:rsid w:val="009B2F7E"/>
    <w:rsid w:val="009B3573"/>
    <w:rsid w:val="009B56FF"/>
    <w:rsid w:val="009B577E"/>
    <w:rsid w:val="009B5EE7"/>
    <w:rsid w:val="009C3F3A"/>
    <w:rsid w:val="009C41EE"/>
    <w:rsid w:val="009C48BE"/>
    <w:rsid w:val="009C491C"/>
    <w:rsid w:val="009C6166"/>
    <w:rsid w:val="009C645F"/>
    <w:rsid w:val="009C67EE"/>
    <w:rsid w:val="009C6AA3"/>
    <w:rsid w:val="009D1011"/>
    <w:rsid w:val="009D1305"/>
    <w:rsid w:val="009D145A"/>
    <w:rsid w:val="009D4293"/>
    <w:rsid w:val="009D5AA2"/>
    <w:rsid w:val="009D78CB"/>
    <w:rsid w:val="009D7B8D"/>
    <w:rsid w:val="009E4867"/>
    <w:rsid w:val="009E75BD"/>
    <w:rsid w:val="009F2980"/>
    <w:rsid w:val="009F4207"/>
    <w:rsid w:val="009F4DD0"/>
    <w:rsid w:val="009F51BB"/>
    <w:rsid w:val="009F6595"/>
    <w:rsid w:val="009F6CB9"/>
    <w:rsid w:val="00A07B28"/>
    <w:rsid w:val="00A11093"/>
    <w:rsid w:val="00A111F6"/>
    <w:rsid w:val="00A113FB"/>
    <w:rsid w:val="00A117D9"/>
    <w:rsid w:val="00A118E2"/>
    <w:rsid w:val="00A11F3E"/>
    <w:rsid w:val="00A12A9C"/>
    <w:rsid w:val="00A16DE7"/>
    <w:rsid w:val="00A250CE"/>
    <w:rsid w:val="00A25244"/>
    <w:rsid w:val="00A27361"/>
    <w:rsid w:val="00A33148"/>
    <w:rsid w:val="00A3444A"/>
    <w:rsid w:val="00A368B6"/>
    <w:rsid w:val="00A370FE"/>
    <w:rsid w:val="00A37849"/>
    <w:rsid w:val="00A40456"/>
    <w:rsid w:val="00A41084"/>
    <w:rsid w:val="00A41F77"/>
    <w:rsid w:val="00A4233A"/>
    <w:rsid w:val="00A4259C"/>
    <w:rsid w:val="00A44D04"/>
    <w:rsid w:val="00A44F2A"/>
    <w:rsid w:val="00A47890"/>
    <w:rsid w:val="00A5240D"/>
    <w:rsid w:val="00A52943"/>
    <w:rsid w:val="00A52BC4"/>
    <w:rsid w:val="00A531EA"/>
    <w:rsid w:val="00A538D5"/>
    <w:rsid w:val="00A57EEF"/>
    <w:rsid w:val="00A61580"/>
    <w:rsid w:val="00A61582"/>
    <w:rsid w:val="00A61DDC"/>
    <w:rsid w:val="00A634BF"/>
    <w:rsid w:val="00A6405B"/>
    <w:rsid w:val="00A65DB6"/>
    <w:rsid w:val="00A677B9"/>
    <w:rsid w:val="00A71495"/>
    <w:rsid w:val="00A741A2"/>
    <w:rsid w:val="00A74A83"/>
    <w:rsid w:val="00A74EB7"/>
    <w:rsid w:val="00A7794A"/>
    <w:rsid w:val="00A779A4"/>
    <w:rsid w:val="00A80C51"/>
    <w:rsid w:val="00A83EA9"/>
    <w:rsid w:val="00A840A9"/>
    <w:rsid w:val="00A867A6"/>
    <w:rsid w:val="00A874B1"/>
    <w:rsid w:val="00A90082"/>
    <w:rsid w:val="00A90B5B"/>
    <w:rsid w:val="00A91007"/>
    <w:rsid w:val="00A910D3"/>
    <w:rsid w:val="00A9126A"/>
    <w:rsid w:val="00A9553F"/>
    <w:rsid w:val="00A96226"/>
    <w:rsid w:val="00A96A2C"/>
    <w:rsid w:val="00A96DDA"/>
    <w:rsid w:val="00A9702E"/>
    <w:rsid w:val="00A97D03"/>
    <w:rsid w:val="00AA2844"/>
    <w:rsid w:val="00AA4A9A"/>
    <w:rsid w:val="00AA5EA4"/>
    <w:rsid w:val="00AB04CA"/>
    <w:rsid w:val="00AB10CA"/>
    <w:rsid w:val="00AB3B95"/>
    <w:rsid w:val="00AB46C1"/>
    <w:rsid w:val="00AB4720"/>
    <w:rsid w:val="00AB7CFE"/>
    <w:rsid w:val="00AC4470"/>
    <w:rsid w:val="00AC4AB9"/>
    <w:rsid w:val="00AC5386"/>
    <w:rsid w:val="00AC53C3"/>
    <w:rsid w:val="00AC54F0"/>
    <w:rsid w:val="00AC7597"/>
    <w:rsid w:val="00AC78C3"/>
    <w:rsid w:val="00AD4774"/>
    <w:rsid w:val="00AD4F9D"/>
    <w:rsid w:val="00AD5013"/>
    <w:rsid w:val="00AD5B39"/>
    <w:rsid w:val="00AD5C63"/>
    <w:rsid w:val="00AD6DB0"/>
    <w:rsid w:val="00AD7718"/>
    <w:rsid w:val="00AE1590"/>
    <w:rsid w:val="00AE4C80"/>
    <w:rsid w:val="00AE5477"/>
    <w:rsid w:val="00AE695D"/>
    <w:rsid w:val="00AE797A"/>
    <w:rsid w:val="00AF13CD"/>
    <w:rsid w:val="00AF2D00"/>
    <w:rsid w:val="00AF2DB5"/>
    <w:rsid w:val="00AF2DD1"/>
    <w:rsid w:val="00AF2E4B"/>
    <w:rsid w:val="00AF56B1"/>
    <w:rsid w:val="00AF6A04"/>
    <w:rsid w:val="00AF7DD6"/>
    <w:rsid w:val="00B00672"/>
    <w:rsid w:val="00B00BF1"/>
    <w:rsid w:val="00B03F3A"/>
    <w:rsid w:val="00B05F99"/>
    <w:rsid w:val="00B06602"/>
    <w:rsid w:val="00B066E4"/>
    <w:rsid w:val="00B117B9"/>
    <w:rsid w:val="00B17A58"/>
    <w:rsid w:val="00B24E27"/>
    <w:rsid w:val="00B27FA0"/>
    <w:rsid w:val="00B35D58"/>
    <w:rsid w:val="00B36F55"/>
    <w:rsid w:val="00B4062C"/>
    <w:rsid w:val="00B4120B"/>
    <w:rsid w:val="00B43917"/>
    <w:rsid w:val="00B440E1"/>
    <w:rsid w:val="00B46DEB"/>
    <w:rsid w:val="00B47C7F"/>
    <w:rsid w:val="00B50602"/>
    <w:rsid w:val="00B5107F"/>
    <w:rsid w:val="00B511A4"/>
    <w:rsid w:val="00B51E27"/>
    <w:rsid w:val="00B52031"/>
    <w:rsid w:val="00B52C29"/>
    <w:rsid w:val="00B52E5B"/>
    <w:rsid w:val="00B5306E"/>
    <w:rsid w:val="00B542D5"/>
    <w:rsid w:val="00B55057"/>
    <w:rsid w:val="00B55BAB"/>
    <w:rsid w:val="00B55C2A"/>
    <w:rsid w:val="00B57762"/>
    <w:rsid w:val="00B57C9A"/>
    <w:rsid w:val="00B60215"/>
    <w:rsid w:val="00B602C5"/>
    <w:rsid w:val="00B655B1"/>
    <w:rsid w:val="00B677BB"/>
    <w:rsid w:val="00B67CC7"/>
    <w:rsid w:val="00B722CC"/>
    <w:rsid w:val="00B72A27"/>
    <w:rsid w:val="00B732BA"/>
    <w:rsid w:val="00B73B4C"/>
    <w:rsid w:val="00B73FEB"/>
    <w:rsid w:val="00B76860"/>
    <w:rsid w:val="00B76FDE"/>
    <w:rsid w:val="00B81632"/>
    <w:rsid w:val="00B82802"/>
    <w:rsid w:val="00B841B8"/>
    <w:rsid w:val="00B8436A"/>
    <w:rsid w:val="00B86C88"/>
    <w:rsid w:val="00B93C44"/>
    <w:rsid w:val="00B95833"/>
    <w:rsid w:val="00B964E1"/>
    <w:rsid w:val="00BA039B"/>
    <w:rsid w:val="00BA4E10"/>
    <w:rsid w:val="00BA7AD5"/>
    <w:rsid w:val="00BB5D45"/>
    <w:rsid w:val="00BC15CB"/>
    <w:rsid w:val="00BC2C1A"/>
    <w:rsid w:val="00BC372E"/>
    <w:rsid w:val="00BC5C77"/>
    <w:rsid w:val="00BC637D"/>
    <w:rsid w:val="00BC6F6F"/>
    <w:rsid w:val="00BC7E67"/>
    <w:rsid w:val="00BD295A"/>
    <w:rsid w:val="00BD2B96"/>
    <w:rsid w:val="00BD465A"/>
    <w:rsid w:val="00BD517C"/>
    <w:rsid w:val="00BD52A3"/>
    <w:rsid w:val="00BE0D25"/>
    <w:rsid w:val="00BE16D9"/>
    <w:rsid w:val="00BE24AC"/>
    <w:rsid w:val="00BE3285"/>
    <w:rsid w:val="00BE38B8"/>
    <w:rsid w:val="00BE70B3"/>
    <w:rsid w:val="00BF0863"/>
    <w:rsid w:val="00BF0A30"/>
    <w:rsid w:val="00BF1D86"/>
    <w:rsid w:val="00BF327A"/>
    <w:rsid w:val="00BF3A1B"/>
    <w:rsid w:val="00BF4C72"/>
    <w:rsid w:val="00BF4F02"/>
    <w:rsid w:val="00BF52A1"/>
    <w:rsid w:val="00BF6D4D"/>
    <w:rsid w:val="00BF79C4"/>
    <w:rsid w:val="00C010C1"/>
    <w:rsid w:val="00C01499"/>
    <w:rsid w:val="00C0585C"/>
    <w:rsid w:val="00C06241"/>
    <w:rsid w:val="00C138ED"/>
    <w:rsid w:val="00C1478B"/>
    <w:rsid w:val="00C15165"/>
    <w:rsid w:val="00C15B98"/>
    <w:rsid w:val="00C16B75"/>
    <w:rsid w:val="00C2024A"/>
    <w:rsid w:val="00C250E9"/>
    <w:rsid w:val="00C254F3"/>
    <w:rsid w:val="00C25EAA"/>
    <w:rsid w:val="00C26005"/>
    <w:rsid w:val="00C26227"/>
    <w:rsid w:val="00C303E8"/>
    <w:rsid w:val="00C31651"/>
    <w:rsid w:val="00C320EB"/>
    <w:rsid w:val="00C32F86"/>
    <w:rsid w:val="00C338B2"/>
    <w:rsid w:val="00C33B4E"/>
    <w:rsid w:val="00C340A0"/>
    <w:rsid w:val="00C349CA"/>
    <w:rsid w:val="00C3554B"/>
    <w:rsid w:val="00C35E22"/>
    <w:rsid w:val="00C40389"/>
    <w:rsid w:val="00C40605"/>
    <w:rsid w:val="00C40B82"/>
    <w:rsid w:val="00C41167"/>
    <w:rsid w:val="00C423C9"/>
    <w:rsid w:val="00C4332A"/>
    <w:rsid w:val="00C438DC"/>
    <w:rsid w:val="00C43B89"/>
    <w:rsid w:val="00C43D9D"/>
    <w:rsid w:val="00C45FD9"/>
    <w:rsid w:val="00C4636C"/>
    <w:rsid w:val="00C4650C"/>
    <w:rsid w:val="00C514D0"/>
    <w:rsid w:val="00C53A13"/>
    <w:rsid w:val="00C53F30"/>
    <w:rsid w:val="00C546FA"/>
    <w:rsid w:val="00C60FFF"/>
    <w:rsid w:val="00C61033"/>
    <w:rsid w:val="00C70AB1"/>
    <w:rsid w:val="00C70D18"/>
    <w:rsid w:val="00C71C45"/>
    <w:rsid w:val="00C80B00"/>
    <w:rsid w:val="00C838B5"/>
    <w:rsid w:val="00C85F1A"/>
    <w:rsid w:val="00C85FC2"/>
    <w:rsid w:val="00C87166"/>
    <w:rsid w:val="00C91B0B"/>
    <w:rsid w:val="00C9282C"/>
    <w:rsid w:val="00C92857"/>
    <w:rsid w:val="00C93A6B"/>
    <w:rsid w:val="00C94E9C"/>
    <w:rsid w:val="00C94EFC"/>
    <w:rsid w:val="00CA0BFB"/>
    <w:rsid w:val="00CA2EA7"/>
    <w:rsid w:val="00CA59F6"/>
    <w:rsid w:val="00CA6F03"/>
    <w:rsid w:val="00CB02EC"/>
    <w:rsid w:val="00CB0E46"/>
    <w:rsid w:val="00CB118A"/>
    <w:rsid w:val="00CB4255"/>
    <w:rsid w:val="00CB780F"/>
    <w:rsid w:val="00CC0446"/>
    <w:rsid w:val="00CC0F11"/>
    <w:rsid w:val="00CC148E"/>
    <w:rsid w:val="00CC237F"/>
    <w:rsid w:val="00CC3EE4"/>
    <w:rsid w:val="00CC6918"/>
    <w:rsid w:val="00CD0A94"/>
    <w:rsid w:val="00CD1643"/>
    <w:rsid w:val="00CD1C7B"/>
    <w:rsid w:val="00CD2F90"/>
    <w:rsid w:val="00CD4D7F"/>
    <w:rsid w:val="00CE02AB"/>
    <w:rsid w:val="00CE0586"/>
    <w:rsid w:val="00CE4375"/>
    <w:rsid w:val="00CE5854"/>
    <w:rsid w:val="00CE58A3"/>
    <w:rsid w:val="00CF01F8"/>
    <w:rsid w:val="00CF0892"/>
    <w:rsid w:val="00CF1D25"/>
    <w:rsid w:val="00CF430E"/>
    <w:rsid w:val="00CF6B69"/>
    <w:rsid w:val="00CF6D9F"/>
    <w:rsid w:val="00CF7077"/>
    <w:rsid w:val="00CF7851"/>
    <w:rsid w:val="00D01CBE"/>
    <w:rsid w:val="00D02A64"/>
    <w:rsid w:val="00D0518D"/>
    <w:rsid w:val="00D062A9"/>
    <w:rsid w:val="00D07824"/>
    <w:rsid w:val="00D104CD"/>
    <w:rsid w:val="00D10793"/>
    <w:rsid w:val="00D17062"/>
    <w:rsid w:val="00D17B24"/>
    <w:rsid w:val="00D17F06"/>
    <w:rsid w:val="00D20248"/>
    <w:rsid w:val="00D2032E"/>
    <w:rsid w:val="00D2230C"/>
    <w:rsid w:val="00D245AA"/>
    <w:rsid w:val="00D24DA1"/>
    <w:rsid w:val="00D2514B"/>
    <w:rsid w:val="00D251EC"/>
    <w:rsid w:val="00D25F96"/>
    <w:rsid w:val="00D305BC"/>
    <w:rsid w:val="00D3343F"/>
    <w:rsid w:val="00D33F53"/>
    <w:rsid w:val="00D3436A"/>
    <w:rsid w:val="00D3441B"/>
    <w:rsid w:val="00D370DE"/>
    <w:rsid w:val="00D420FA"/>
    <w:rsid w:val="00D45A3B"/>
    <w:rsid w:val="00D45F00"/>
    <w:rsid w:val="00D46297"/>
    <w:rsid w:val="00D529A8"/>
    <w:rsid w:val="00D533F3"/>
    <w:rsid w:val="00D57361"/>
    <w:rsid w:val="00D57362"/>
    <w:rsid w:val="00D578B0"/>
    <w:rsid w:val="00D60363"/>
    <w:rsid w:val="00D6152A"/>
    <w:rsid w:val="00D620BF"/>
    <w:rsid w:val="00D64845"/>
    <w:rsid w:val="00D64CDC"/>
    <w:rsid w:val="00D7332D"/>
    <w:rsid w:val="00D7532E"/>
    <w:rsid w:val="00D75EB0"/>
    <w:rsid w:val="00D76931"/>
    <w:rsid w:val="00D76B43"/>
    <w:rsid w:val="00D77B85"/>
    <w:rsid w:val="00D8096C"/>
    <w:rsid w:val="00D816A1"/>
    <w:rsid w:val="00D818A2"/>
    <w:rsid w:val="00D820E5"/>
    <w:rsid w:val="00D82553"/>
    <w:rsid w:val="00D83828"/>
    <w:rsid w:val="00D83A0E"/>
    <w:rsid w:val="00D83FF5"/>
    <w:rsid w:val="00D8427D"/>
    <w:rsid w:val="00D855D0"/>
    <w:rsid w:val="00D85822"/>
    <w:rsid w:val="00D858D9"/>
    <w:rsid w:val="00D87743"/>
    <w:rsid w:val="00D87E84"/>
    <w:rsid w:val="00D90D7E"/>
    <w:rsid w:val="00D92A3A"/>
    <w:rsid w:val="00D93462"/>
    <w:rsid w:val="00D94A03"/>
    <w:rsid w:val="00D97221"/>
    <w:rsid w:val="00DA0AE8"/>
    <w:rsid w:val="00DA1290"/>
    <w:rsid w:val="00DA1408"/>
    <w:rsid w:val="00DA30B8"/>
    <w:rsid w:val="00DA46A1"/>
    <w:rsid w:val="00DA4B2E"/>
    <w:rsid w:val="00DA569D"/>
    <w:rsid w:val="00DA6B21"/>
    <w:rsid w:val="00DB100C"/>
    <w:rsid w:val="00DC0B21"/>
    <w:rsid w:val="00DC2210"/>
    <w:rsid w:val="00DC2346"/>
    <w:rsid w:val="00DC67D5"/>
    <w:rsid w:val="00DC6C48"/>
    <w:rsid w:val="00DC76C7"/>
    <w:rsid w:val="00DC77D4"/>
    <w:rsid w:val="00DC7895"/>
    <w:rsid w:val="00DC7EE5"/>
    <w:rsid w:val="00DD0C36"/>
    <w:rsid w:val="00DD1397"/>
    <w:rsid w:val="00DD1D49"/>
    <w:rsid w:val="00DD24BB"/>
    <w:rsid w:val="00DD26FA"/>
    <w:rsid w:val="00DD2EAD"/>
    <w:rsid w:val="00DD373B"/>
    <w:rsid w:val="00DD3A27"/>
    <w:rsid w:val="00DD6601"/>
    <w:rsid w:val="00DD7D35"/>
    <w:rsid w:val="00DE02C7"/>
    <w:rsid w:val="00DE1103"/>
    <w:rsid w:val="00DE54A7"/>
    <w:rsid w:val="00DE67A4"/>
    <w:rsid w:val="00DE6DD2"/>
    <w:rsid w:val="00DF0965"/>
    <w:rsid w:val="00DF3838"/>
    <w:rsid w:val="00DF5572"/>
    <w:rsid w:val="00E013CC"/>
    <w:rsid w:val="00E041F0"/>
    <w:rsid w:val="00E049EB"/>
    <w:rsid w:val="00E0553F"/>
    <w:rsid w:val="00E07936"/>
    <w:rsid w:val="00E10327"/>
    <w:rsid w:val="00E10B18"/>
    <w:rsid w:val="00E10FEB"/>
    <w:rsid w:val="00E11428"/>
    <w:rsid w:val="00E1320A"/>
    <w:rsid w:val="00E135BE"/>
    <w:rsid w:val="00E13703"/>
    <w:rsid w:val="00E1434E"/>
    <w:rsid w:val="00E151F7"/>
    <w:rsid w:val="00E16816"/>
    <w:rsid w:val="00E16AF4"/>
    <w:rsid w:val="00E20166"/>
    <w:rsid w:val="00E2270E"/>
    <w:rsid w:val="00E23A16"/>
    <w:rsid w:val="00E242C7"/>
    <w:rsid w:val="00E2458F"/>
    <w:rsid w:val="00E253D2"/>
    <w:rsid w:val="00E301E9"/>
    <w:rsid w:val="00E30921"/>
    <w:rsid w:val="00E3116C"/>
    <w:rsid w:val="00E3194F"/>
    <w:rsid w:val="00E33EB8"/>
    <w:rsid w:val="00E36965"/>
    <w:rsid w:val="00E37E70"/>
    <w:rsid w:val="00E403AF"/>
    <w:rsid w:val="00E40A6C"/>
    <w:rsid w:val="00E463DC"/>
    <w:rsid w:val="00E468FC"/>
    <w:rsid w:val="00E505BD"/>
    <w:rsid w:val="00E5182B"/>
    <w:rsid w:val="00E52CDD"/>
    <w:rsid w:val="00E53A24"/>
    <w:rsid w:val="00E5733C"/>
    <w:rsid w:val="00E57CE8"/>
    <w:rsid w:val="00E60722"/>
    <w:rsid w:val="00E60779"/>
    <w:rsid w:val="00E60F9B"/>
    <w:rsid w:val="00E60FD4"/>
    <w:rsid w:val="00E62030"/>
    <w:rsid w:val="00E63AA6"/>
    <w:rsid w:val="00E65649"/>
    <w:rsid w:val="00E6688F"/>
    <w:rsid w:val="00E70124"/>
    <w:rsid w:val="00E71B56"/>
    <w:rsid w:val="00E7277C"/>
    <w:rsid w:val="00E748D8"/>
    <w:rsid w:val="00E76C3E"/>
    <w:rsid w:val="00E81014"/>
    <w:rsid w:val="00E81A67"/>
    <w:rsid w:val="00E86B1A"/>
    <w:rsid w:val="00E91B53"/>
    <w:rsid w:val="00E93099"/>
    <w:rsid w:val="00E93682"/>
    <w:rsid w:val="00E93A04"/>
    <w:rsid w:val="00E95686"/>
    <w:rsid w:val="00E95EC5"/>
    <w:rsid w:val="00E9641C"/>
    <w:rsid w:val="00E966DD"/>
    <w:rsid w:val="00E97D5A"/>
    <w:rsid w:val="00EA0EA3"/>
    <w:rsid w:val="00EA3B6F"/>
    <w:rsid w:val="00EA4425"/>
    <w:rsid w:val="00EA60B2"/>
    <w:rsid w:val="00EA6BB9"/>
    <w:rsid w:val="00EA72E0"/>
    <w:rsid w:val="00EA7DC6"/>
    <w:rsid w:val="00EB1791"/>
    <w:rsid w:val="00EB3376"/>
    <w:rsid w:val="00EB6EF5"/>
    <w:rsid w:val="00EC0171"/>
    <w:rsid w:val="00EC1076"/>
    <w:rsid w:val="00EC1F31"/>
    <w:rsid w:val="00EC3BFD"/>
    <w:rsid w:val="00EC4EE4"/>
    <w:rsid w:val="00EC7B80"/>
    <w:rsid w:val="00ED01EA"/>
    <w:rsid w:val="00ED5AE0"/>
    <w:rsid w:val="00ED5C49"/>
    <w:rsid w:val="00ED7445"/>
    <w:rsid w:val="00EE2245"/>
    <w:rsid w:val="00EE2F8A"/>
    <w:rsid w:val="00EE3FE3"/>
    <w:rsid w:val="00EE6F1C"/>
    <w:rsid w:val="00EE7A84"/>
    <w:rsid w:val="00EF1D3A"/>
    <w:rsid w:val="00EF2D93"/>
    <w:rsid w:val="00EF3A97"/>
    <w:rsid w:val="00EF496A"/>
    <w:rsid w:val="00EF50B1"/>
    <w:rsid w:val="00F002A8"/>
    <w:rsid w:val="00F009C6"/>
    <w:rsid w:val="00F03FEF"/>
    <w:rsid w:val="00F045CB"/>
    <w:rsid w:val="00F149CA"/>
    <w:rsid w:val="00F14E1B"/>
    <w:rsid w:val="00F15EC3"/>
    <w:rsid w:val="00F171C6"/>
    <w:rsid w:val="00F1761B"/>
    <w:rsid w:val="00F2142E"/>
    <w:rsid w:val="00F22CAC"/>
    <w:rsid w:val="00F250C5"/>
    <w:rsid w:val="00F257E7"/>
    <w:rsid w:val="00F26229"/>
    <w:rsid w:val="00F26AF9"/>
    <w:rsid w:val="00F30C08"/>
    <w:rsid w:val="00F32EF2"/>
    <w:rsid w:val="00F330D7"/>
    <w:rsid w:val="00F34E14"/>
    <w:rsid w:val="00F34F2F"/>
    <w:rsid w:val="00F35826"/>
    <w:rsid w:val="00F358DA"/>
    <w:rsid w:val="00F36AA1"/>
    <w:rsid w:val="00F37726"/>
    <w:rsid w:val="00F410E9"/>
    <w:rsid w:val="00F42DEB"/>
    <w:rsid w:val="00F43123"/>
    <w:rsid w:val="00F43F99"/>
    <w:rsid w:val="00F4603D"/>
    <w:rsid w:val="00F54F18"/>
    <w:rsid w:val="00F55F4F"/>
    <w:rsid w:val="00F560C7"/>
    <w:rsid w:val="00F60444"/>
    <w:rsid w:val="00F61C27"/>
    <w:rsid w:val="00F63C5E"/>
    <w:rsid w:val="00F63C6B"/>
    <w:rsid w:val="00F63FF2"/>
    <w:rsid w:val="00F65CCB"/>
    <w:rsid w:val="00F74C14"/>
    <w:rsid w:val="00F7519E"/>
    <w:rsid w:val="00F756B0"/>
    <w:rsid w:val="00F80DB6"/>
    <w:rsid w:val="00F80F00"/>
    <w:rsid w:val="00F85AB0"/>
    <w:rsid w:val="00F91ACE"/>
    <w:rsid w:val="00F94BD4"/>
    <w:rsid w:val="00F9657D"/>
    <w:rsid w:val="00F96957"/>
    <w:rsid w:val="00F96C06"/>
    <w:rsid w:val="00F97133"/>
    <w:rsid w:val="00F97154"/>
    <w:rsid w:val="00F97AF0"/>
    <w:rsid w:val="00FA2D56"/>
    <w:rsid w:val="00FA7574"/>
    <w:rsid w:val="00FB0F9D"/>
    <w:rsid w:val="00FB281E"/>
    <w:rsid w:val="00FB7951"/>
    <w:rsid w:val="00FB7B59"/>
    <w:rsid w:val="00FC0C8A"/>
    <w:rsid w:val="00FC16A9"/>
    <w:rsid w:val="00FC1A9D"/>
    <w:rsid w:val="00FC1C17"/>
    <w:rsid w:val="00FC32CE"/>
    <w:rsid w:val="00FC72C2"/>
    <w:rsid w:val="00FD029C"/>
    <w:rsid w:val="00FD08A2"/>
    <w:rsid w:val="00FD2E76"/>
    <w:rsid w:val="00FD40D2"/>
    <w:rsid w:val="00FD6AA1"/>
    <w:rsid w:val="00FD7E8A"/>
    <w:rsid w:val="00FD7FD9"/>
    <w:rsid w:val="00FE1480"/>
    <w:rsid w:val="00FE2782"/>
    <w:rsid w:val="00FE327A"/>
    <w:rsid w:val="00FE3999"/>
    <w:rsid w:val="00FE44BF"/>
    <w:rsid w:val="00FE4BD1"/>
    <w:rsid w:val="00FE784C"/>
    <w:rsid w:val="00FF21F0"/>
    <w:rsid w:val="00FF399E"/>
    <w:rsid w:val="00FF3AF0"/>
    <w:rsid w:val="00FF516D"/>
    <w:rsid w:val="00FF5C05"/>
    <w:rsid w:val="00FF61FB"/>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9A94E"/>
  <w15:chartTrackingRefBased/>
  <w15:docId w15:val="{C1A301BD-1A29-CB49-B0AC-A7D0BFB1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32C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C32CE"/>
    <w:rPr>
      <w:sz w:val="20"/>
      <w:szCs w:val="20"/>
    </w:rPr>
  </w:style>
  <w:style w:type="character" w:styleId="FootnoteReference">
    <w:name w:val="footnote reference"/>
    <w:basedOn w:val="DefaultParagraphFont"/>
    <w:uiPriority w:val="99"/>
    <w:semiHidden/>
    <w:unhideWhenUsed/>
    <w:rsid w:val="00FC32CE"/>
    <w:rPr>
      <w:vertAlign w:val="superscript"/>
    </w:rPr>
  </w:style>
  <w:style w:type="paragraph" w:styleId="Revision">
    <w:name w:val="Revision"/>
    <w:hidden/>
    <w:uiPriority w:val="99"/>
    <w:semiHidden/>
    <w:rsid w:val="00D3436A"/>
  </w:style>
  <w:style w:type="paragraph" w:styleId="Footer">
    <w:name w:val="footer"/>
    <w:basedOn w:val="Normal"/>
    <w:link w:val="FooterChar"/>
    <w:uiPriority w:val="99"/>
    <w:unhideWhenUsed/>
    <w:rsid w:val="002746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4642"/>
  </w:style>
  <w:style w:type="character" w:styleId="PageNumber">
    <w:name w:val="page number"/>
    <w:basedOn w:val="DefaultParagraphFont"/>
    <w:uiPriority w:val="99"/>
    <w:semiHidden/>
    <w:unhideWhenUsed/>
    <w:rsid w:val="00274642"/>
  </w:style>
  <w:style w:type="character" w:customStyle="1" w:styleId="costarpage">
    <w:name w:val="co_starpage"/>
    <w:basedOn w:val="DefaultParagraphFont"/>
    <w:rsid w:val="00003A56"/>
  </w:style>
  <w:style w:type="paragraph" w:styleId="ListParagraph">
    <w:name w:val="List Paragraph"/>
    <w:basedOn w:val="Normal"/>
    <w:uiPriority w:val="34"/>
    <w:qFormat/>
    <w:rsid w:val="00C2024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C6918"/>
    <w:rPr>
      <w:color w:val="0000FF"/>
      <w:u w:val="single"/>
    </w:rPr>
  </w:style>
  <w:style w:type="character" w:styleId="UnresolvedMention">
    <w:name w:val="Unresolved Mention"/>
    <w:basedOn w:val="DefaultParagraphFont"/>
    <w:uiPriority w:val="99"/>
    <w:semiHidden/>
    <w:unhideWhenUsed/>
    <w:rsid w:val="004659B4"/>
    <w:rPr>
      <w:color w:val="605E5C"/>
      <w:shd w:val="clear" w:color="auto" w:fill="E1DFDD"/>
    </w:rPr>
  </w:style>
  <w:style w:type="character" w:styleId="CommentReference">
    <w:name w:val="annotation reference"/>
    <w:basedOn w:val="DefaultParagraphFont"/>
    <w:uiPriority w:val="99"/>
    <w:semiHidden/>
    <w:unhideWhenUsed/>
    <w:rsid w:val="00657086"/>
    <w:rPr>
      <w:sz w:val="16"/>
      <w:szCs w:val="16"/>
    </w:rPr>
  </w:style>
  <w:style w:type="paragraph" w:styleId="CommentText">
    <w:name w:val="annotation text"/>
    <w:basedOn w:val="Normal"/>
    <w:link w:val="CommentTextChar"/>
    <w:uiPriority w:val="99"/>
    <w:semiHidden/>
    <w:unhideWhenUsed/>
    <w:rsid w:val="00657086"/>
    <w:rPr>
      <w:sz w:val="20"/>
      <w:szCs w:val="20"/>
    </w:rPr>
  </w:style>
  <w:style w:type="character" w:customStyle="1" w:styleId="CommentTextChar">
    <w:name w:val="Comment Text Char"/>
    <w:basedOn w:val="DefaultParagraphFont"/>
    <w:link w:val="CommentText"/>
    <w:uiPriority w:val="99"/>
    <w:semiHidden/>
    <w:rsid w:val="00657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086"/>
    <w:rPr>
      <w:b/>
      <w:bCs/>
    </w:rPr>
  </w:style>
  <w:style w:type="character" w:customStyle="1" w:styleId="CommentSubjectChar">
    <w:name w:val="Comment Subject Char"/>
    <w:basedOn w:val="CommentTextChar"/>
    <w:link w:val="CommentSubject"/>
    <w:uiPriority w:val="99"/>
    <w:semiHidden/>
    <w:rsid w:val="00657086"/>
    <w:rPr>
      <w:rFonts w:ascii="Times New Roman" w:eastAsia="Times New Roman" w:hAnsi="Times New Roman" w:cs="Times New Roman"/>
      <w:b/>
      <w:bCs/>
      <w:sz w:val="20"/>
      <w:szCs w:val="20"/>
    </w:rPr>
  </w:style>
  <w:style w:type="paragraph" w:styleId="NoSpacing">
    <w:name w:val="No Spacing"/>
    <w:uiPriority w:val="1"/>
    <w:qFormat/>
    <w:rsid w:val="00B36F55"/>
    <w:rPr>
      <w:rFonts w:ascii="Calibri" w:eastAsia="Calibri" w:hAnsi="Calibri" w:cs="Times New Roman"/>
      <w:sz w:val="22"/>
      <w:szCs w:val="22"/>
    </w:rPr>
  </w:style>
  <w:style w:type="paragraph" w:styleId="NormalWeb">
    <w:name w:val="Normal (Web)"/>
    <w:basedOn w:val="Normal"/>
    <w:uiPriority w:val="99"/>
    <w:unhideWhenUsed/>
    <w:rsid w:val="007C7400"/>
    <w:pPr>
      <w:spacing w:before="100" w:beforeAutospacing="1" w:after="100" w:afterAutospacing="1"/>
    </w:pPr>
  </w:style>
  <w:style w:type="character" w:customStyle="1" w:styleId="active-reporter">
    <w:name w:val="active-reporter"/>
    <w:basedOn w:val="DefaultParagraphFont"/>
    <w:rsid w:val="008C3C0B"/>
  </w:style>
  <w:style w:type="character" w:styleId="FollowedHyperlink">
    <w:name w:val="FollowedHyperlink"/>
    <w:basedOn w:val="DefaultParagraphFont"/>
    <w:uiPriority w:val="99"/>
    <w:semiHidden/>
    <w:unhideWhenUsed/>
    <w:rsid w:val="00A11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402">
      <w:bodyDiv w:val="1"/>
      <w:marLeft w:val="0"/>
      <w:marRight w:val="0"/>
      <w:marTop w:val="0"/>
      <w:marBottom w:val="0"/>
      <w:divBdr>
        <w:top w:val="none" w:sz="0" w:space="0" w:color="auto"/>
        <w:left w:val="none" w:sz="0" w:space="0" w:color="auto"/>
        <w:bottom w:val="none" w:sz="0" w:space="0" w:color="auto"/>
        <w:right w:val="none" w:sz="0" w:space="0" w:color="auto"/>
      </w:divBdr>
    </w:div>
    <w:div w:id="126508667">
      <w:bodyDiv w:val="1"/>
      <w:marLeft w:val="0"/>
      <w:marRight w:val="0"/>
      <w:marTop w:val="0"/>
      <w:marBottom w:val="0"/>
      <w:divBdr>
        <w:top w:val="none" w:sz="0" w:space="0" w:color="auto"/>
        <w:left w:val="none" w:sz="0" w:space="0" w:color="auto"/>
        <w:bottom w:val="none" w:sz="0" w:space="0" w:color="auto"/>
        <w:right w:val="none" w:sz="0" w:space="0" w:color="auto"/>
      </w:divBdr>
    </w:div>
    <w:div w:id="165872237">
      <w:bodyDiv w:val="1"/>
      <w:marLeft w:val="0"/>
      <w:marRight w:val="0"/>
      <w:marTop w:val="0"/>
      <w:marBottom w:val="0"/>
      <w:divBdr>
        <w:top w:val="none" w:sz="0" w:space="0" w:color="auto"/>
        <w:left w:val="none" w:sz="0" w:space="0" w:color="auto"/>
        <w:bottom w:val="none" w:sz="0" w:space="0" w:color="auto"/>
        <w:right w:val="none" w:sz="0" w:space="0" w:color="auto"/>
      </w:divBdr>
    </w:div>
    <w:div w:id="605776702">
      <w:bodyDiv w:val="1"/>
      <w:marLeft w:val="0"/>
      <w:marRight w:val="0"/>
      <w:marTop w:val="0"/>
      <w:marBottom w:val="0"/>
      <w:divBdr>
        <w:top w:val="none" w:sz="0" w:space="0" w:color="auto"/>
        <w:left w:val="none" w:sz="0" w:space="0" w:color="auto"/>
        <w:bottom w:val="none" w:sz="0" w:space="0" w:color="auto"/>
        <w:right w:val="none" w:sz="0" w:space="0" w:color="auto"/>
      </w:divBdr>
    </w:div>
    <w:div w:id="657730735">
      <w:bodyDiv w:val="1"/>
      <w:marLeft w:val="0"/>
      <w:marRight w:val="0"/>
      <w:marTop w:val="0"/>
      <w:marBottom w:val="0"/>
      <w:divBdr>
        <w:top w:val="none" w:sz="0" w:space="0" w:color="auto"/>
        <w:left w:val="none" w:sz="0" w:space="0" w:color="auto"/>
        <w:bottom w:val="none" w:sz="0" w:space="0" w:color="auto"/>
        <w:right w:val="none" w:sz="0" w:space="0" w:color="auto"/>
      </w:divBdr>
    </w:div>
    <w:div w:id="665205638">
      <w:bodyDiv w:val="1"/>
      <w:marLeft w:val="0"/>
      <w:marRight w:val="0"/>
      <w:marTop w:val="0"/>
      <w:marBottom w:val="0"/>
      <w:divBdr>
        <w:top w:val="none" w:sz="0" w:space="0" w:color="auto"/>
        <w:left w:val="none" w:sz="0" w:space="0" w:color="auto"/>
        <w:bottom w:val="none" w:sz="0" w:space="0" w:color="auto"/>
        <w:right w:val="none" w:sz="0" w:space="0" w:color="auto"/>
      </w:divBdr>
    </w:div>
    <w:div w:id="886337823">
      <w:bodyDiv w:val="1"/>
      <w:marLeft w:val="0"/>
      <w:marRight w:val="0"/>
      <w:marTop w:val="0"/>
      <w:marBottom w:val="0"/>
      <w:divBdr>
        <w:top w:val="none" w:sz="0" w:space="0" w:color="auto"/>
        <w:left w:val="none" w:sz="0" w:space="0" w:color="auto"/>
        <w:bottom w:val="none" w:sz="0" w:space="0" w:color="auto"/>
        <w:right w:val="none" w:sz="0" w:space="0" w:color="auto"/>
      </w:divBdr>
    </w:div>
    <w:div w:id="976910061">
      <w:bodyDiv w:val="1"/>
      <w:marLeft w:val="0"/>
      <w:marRight w:val="0"/>
      <w:marTop w:val="0"/>
      <w:marBottom w:val="0"/>
      <w:divBdr>
        <w:top w:val="none" w:sz="0" w:space="0" w:color="auto"/>
        <w:left w:val="none" w:sz="0" w:space="0" w:color="auto"/>
        <w:bottom w:val="none" w:sz="0" w:space="0" w:color="auto"/>
        <w:right w:val="none" w:sz="0" w:space="0" w:color="auto"/>
      </w:divBdr>
      <w:divsChild>
        <w:div w:id="1061564214">
          <w:marLeft w:val="0"/>
          <w:marRight w:val="0"/>
          <w:marTop w:val="15"/>
          <w:marBottom w:val="0"/>
          <w:divBdr>
            <w:top w:val="none" w:sz="0" w:space="0" w:color="auto"/>
            <w:left w:val="none" w:sz="0" w:space="0" w:color="auto"/>
            <w:bottom w:val="none" w:sz="0" w:space="0" w:color="auto"/>
            <w:right w:val="none" w:sz="0" w:space="0" w:color="auto"/>
          </w:divBdr>
        </w:div>
      </w:divsChild>
    </w:div>
    <w:div w:id="1002245492">
      <w:bodyDiv w:val="1"/>
      <w:marLeft w:val="0"/>
      <w:marRight w:val="0"/>
      <w:marTop w:val="0"/>
      <w:marBottom w:val="0"/>
      <w:divBdr>
        <w:top w:val="none" w:sz="0" w:space="0" w:color="auto"/>
        <w:left w:val="none" w:sz="0" w:space="0" w:color="auto"/>
        <w:bottom w:val="none" w:sz="0" w:space="0" w:color="auto"/>
        <w:right w:val="none" w:sz="0" w:space="0" w:color="auto"/>
      </w:divBdr>
    </w:div>
    <w:div w:id="1009256997">
      <w:bodyDiv w:val="1"/>
      <w:marLeft w:val="0"/>
      <w:marRight w:val="0"/>
      <w:marTop w:val="0"/>
      <w:marBottom w:val="0"/>
      <w:divBdr>
        <w:top w:val="none" w:sz="0" w:space="0" w:color="auto"/>
        <w:left w:val="none" w:sz="0" w:space="0" w:color="auto"/>
        <w:bottom w:val="none" w:sz="0" w:space="0" w:color="auto"/>
        <w:right w:val="none" w:sz="0" w:space="0" w:color="auto"/>
      </w:divBdr>
    </w:div>
    <w:div w:id="1065839573">
      <w:bodyDiv w:val="1"/>
      <w:marLeft w:val="0"/>
      <w:marRight w:val="0"/>
      <w:marTop w:val="0"/>
      <w:marBottom w:val="0"/>
      <w:divBdr>
        <w:top w:val="none" w:sz="0" w:space="0" w:color="auto"/>
        <w:left w:val="none" w:sz="0" w:space="0" w:color="auto"/>
        <w:bottom w:val="none" w:sz="0" w:space="0" w:color="auto"/>
        <w:right w:val="none" w:sz="0" w:space="0" w:color="auto"/>
      </w:divBdr>
    </w:div>
    <w:div w:id="1098402402">
      <w:bodyDiv w:val="1"/>
      <w:marLeft w:val="0"/>
      <w:marRight w:val="0"/>
      <w:marTop w:val="0"/>
      <w:marBottom w:val="0"/>
      <w:divBdr>
        <w:top w:val="none" w:sz="0" w:space="0" w:color="auto"/>
        <w:left w:val="none" w:sz="0" w:space="0" w:color="auto"/>
        <w:bottom w:val="none" w:sz="0" w:space="0" w:color="auto"/>
        <w:right w:val="none" w:sz="0" w:space="0" w:color="auto"/>
      </w:divBdr>
    </w:div>
    <w:div w:id="1205173271">
      <w:bodyDiv w:val="1"/>
      <w:marLeft w:val="0"/>
      <w:marRight w:val="0"/>
      <w:marTop w:val="0"/>
      <w:marBottom w:val="0"/>
      <w:divBdr>
        <w:top w:val="none" w:sz="0" w:space="0" w:color="auto"/>
        <w:left w:val="none" w:sz="0" w:space="0" w:color="auto"/>
        <w:bottom w:val="none" w:sz="0" w:space="0" w:color="auto"/>
        <w:right w:val="none" w:sz="0" w:space="0" w:color="auto"/>
      </w:divBdr>
    </w:div>
    <w:div w:id="1237399771">
      <w:bodyDiv w:val="1"/>
      <w:marLeft w:val="0"/>
      <w:marRight w:val="0"/>
      <w:marTop w:val="0"/>
      <w:marBottom w:val="0"/>
      <w:divBdr>
        <w:top w:val="none" w:sz="0" w:space="0" w:color="auto"/>
        <w:left w:val="none" w:sz="0" w:space="0" w:color="auto"/>
        <w:bottom w:val="none" w:sz="0" w:space="0" w:color="auto"/>
        <w:right w:val="none" w:sz="0" w:space="0" w:color="auto"/>
      </w:divBdr>
    </w:div>
    <w:div w:id="1462380678">
      <w:bodyDiv w:val="1"/>
      <w:marLeft w:val="0"/>
      <w:marRight w:val="0"/>
      <w:marTop w:val="0"/>
      <w:marBottom w:val="0"/>
      <w:divBdr>
        <w:top w:val="none" w:sz="0" w:space="0" w:color="auto"/>
        <w:left w:val="none" w:sz="0" w:space="0" w:color="auto"/>
        <w:bottom w:val="none" w:sz="0" w:space="0" w:color="auto"/>
        <w:right w:val="none" w:sz="0" w:space="0" w:color="auto"/>
      </w:divBdr>
    </w:div>
    <w:div w:id="1467116375">
      <w:bodyDiv w:val="1"/>
      <w:marLeft w:val="0"/>
      <w:marRight w:val="0"/>
      <w:marTop w:val="0"/>
      <w:marBottom w:val="0"/>
      <w:divBdr>
        <w:top w:val="none" w:sz="0" w:space="0" w:color="auto"/>
        <w:left w:val="none" w:sz="0" w:space="0" w:color="auto"/>
        <w:bottom w:val="none" w:sz="0" w:space="0" w:color="auto"/>
        <w:right w:val="none" w:sz="0" w:space="0" w:color="auto"/>
      </w:divBdr>
    </w:div>
    <w:div w:id="1643343479">
      <w:bodyDiv w:val="1"/>
      <w:marLeft w:val="0"/>
      <w:marRight w:val="0"/>
      <w:marTop w:val="0"/>
      <w:marBottom w:val="0"/>
      <w:divBdr>
        <w:top w:val="none" w:sz="0" w:space="0" w:color="auto"/>
        <w:left w:val="none" w:sz="0" w:space="0" w:color="auto"/>
        <w:bottom w:val="none" w:sz="0" w:space="0" w:color="auto"/>
        <w:right w:val="none" w:sz="0" w:space="0" w:color="auto"/>
      </w:divBdr>
    </w:div>
    <w:div w:id="1674331089">
      <w:bodyDiv w:val="1"/>
      <w:marLeft w:val="0"/>
      <w:marRight w:val="0"/>
      <w:marTop w:val="0"/>
      <w:marBottom w:val="0"/>
      <w:divBdr>
        <w:top w:val="none" w:sz="0" w:space="0" w:color="auto"/>
        <w:left w:val="none" w:sz="0" w:space="0" w:color="auto"/>
        <w:bottom w:val="none" w:sz="0" w:space="0" w:color="auto"/>
        <w:right w:val="none" w:sz="0" w:space="0" w:color="auto"/>
      </w:divBdr>
    </w:div>
    <w:div w:id="1798063667">
      <w:bodyDiv w:val="1"/>
      <w:marLeft w:val="0"/>
      <w:marRight w:val="0"/>
      <w:marTop w:val="0"/>
      <w:marBottom w:val="0"/>
      <w:divBdr>
        <w:top w:val="none" w:sz="0" w:space="0" w:color="auto"/>
        <w:left w:val="none" w:sz="0" w:space="0" w:color="auto"/>
        <w:bottom w:val="none" w:sz="0" w:space="0" w:color="auto"/>
        <w:right w:val="none" w:sz="0" w:space="0" w:color="auto"/>
      </w:divBdr>
    </w:div>
    <w:div w:id="1829596073">
      <w:bodyDiv w:val="1"/>
      <w:marLeft w:val="0"/>
      <w:marRight w:val="0"/>
      <w:marTop w:val="0"/>
      <w:marBottom w:val="0"/>
      <w:divBdr>
        <w:top w:val="none" w:sz="0" w:space="0" w:color="auto"/>
        <w:left w:val="none" w:sz="0" w:space="0" w:color="auto"/>
        <w:bottom w:val="none" w:sz="0" w:space="0" w:color="auto"/>
        <w:right w:val="none" w:sz="0" w:space="0" w:color="auto"/>
      </w:divBdr>
    </w:div>
    <w:div w:id="1882859711">
      <w:bodyDiv w:val="1"/>
      <w:marLeft w:val="0"/>
      <w:marRight w:val="0"/>
      <w:marTop w:val="0"/>
      <w:marBottom w:val="0"/>
      <w:divBdr>
        <w:top w:val="none" w:sz="0" w:space="0" w:color="auto"/>
        <w:left w:val="none" w:sz="0" w:space="0" w:color="auto"/>
        <w:bottom w:val="none" w:sz="0" w:space="0" w:color="auto"/>
        <w:right w:val="none" w:sz="0" w:space="0" w:color="auto"/>
      </w:divBdr>
    </w:div>
    <w:div w:id="1908878597">
      <w:bodyDiv w:val="1"/>
      <w:marLeft w:val="0"/>
      <w:marRight w:val="0"/>
      <w:marTop w:val="0"/>
      <w:marBottom w:val="0"/>
      <w:divBdr>
        <w:top w:val="none" w:sz="0" w:space="0" w:color="auto"/>
        <w:left w:val="none" w:sz="0" w:space="0" w:color="auto"/>
        <w:bottom w:val="none" w:sz="0" w:space="0" w:color="auto"/>
        <w:right w:val="none" w:sz="0" w:space="0" w:color="auto"/>
      </w:divBdr>
    </w:div>
    <w:div w:id="2026402732">
      <w:bodyDiv w:val="1"/>
      <w:marLeft w:val="0"/>
      <w:marRight w:val="0"/>
      <w:marTop w:val="0"/>
      <w:marBottom w:val="0"/>
      <w:divBdr>
        <w:top w:val="none" w:sz="0" w:space="0" w:color="auto"/>
        <w:left w:val="none" w:sz="0" w:space="0" w:color="auto"/>
        <w:bottom w:val="none" w:sz="0" w:space="0" w:color="auto"/>
        <w:right w:val="none" w:sz="0" w:space="0" w:color="auto"/>
      </w:divBdr>
    </w:div>
    <w:div w:id="2054883715">
      <w:bodyDiv w:val="1"/>
      <w:marLeft w:val="0"/>
      <w:marRight w:val="0"/>
      <w:marTop w:val="0"/>
      <w:marBottom w:val="0"/>
      <w:divBdr>
        <w:top w:val="none" w:sz="0" w:space="0" w:color="auto"/>
        <w:left w:val="none" w:sz="0" w:space="0" w:color="auto"/>
        <w:bottom w:val="none" w:sz="0" w:space="0" w:color="auto"/>
        <w:right w:val="none" w:sz="0" w:space="0" w:color="auto"/>
      </w:divBdr>
      <w:divsChild>
        <w:div w:id="1277057694">
          <w:marLeft w:val="0"/>
          <w:marRight w:val="0"/>
          <w:marTop w:val="15"/>
          <w:marBottom w:val="0"/>
          <w:divBdr>
            <w:top w:val="none" w:sz="0" w:space="0" w:color="auto"/>
            <w:left w:val="none" w:sz="0" w:space="0" w:color="auto"/>
            <w:bottom w:val="none" w:sz="0" w:space="0" w:color="auto"/>
            <w:right w:val="none" w:sz="0" w:space="0" w:color="auto"/>
          </w:divBdr>
        </w:div>
      </w:divsChild>
    </w:div>
    <w:div w:id="2084522811">
      <w:bodyDiv w:val="1"/>
      <w:marLeft w:val="0"/>
      <w:marRight w:val="0"/>
      <w:marTop w:val="0"/>
      <w:marBottom w:val="0"/>
      <w:divBdr>
        <w:top w:val="none" w:sz="0" w:space="0" w:color="auto"/>
        <w:left w:val="none" w:sz="0" w:space="0" w:color="auto"/>
        <w:bottom w:val="none" w:sz="0" w:space="0" w:color="auto"/>
        <w:right w:val="none" w:sz="0" w:space="0" w:color="auto"/>
      </w:divBdr>
      <w:divsChild>
        <w:div w:id="1514490376">
          <w:marLeft w:val="0"/>
          <w:marRight w:val="0"/>
          <w:marTop w:val="0"/>
          <w:marBottom w:val="0"/>
          <w:divBdr>
            <w:top w:val="none" w:sz="0" w:space="0" w:color="auto"/>
            <w:left w:val="none" w:sz="0" w:space="0" w:color="auto"/>
            <w:bottom w:val="none" w:sz="0" w:space="0" w:color="auto"/>
            <w:right w:val="none" w:sz="0" w:space="0" w:color="auto"/>
          </w:divBdr>
        </w:div>
        <w:div w:id="819804316">
          <w:marLeft w:val="0"/>
          <w:marRight w:val="0"/>
          <w:marTop w:val="0"/>
          <w:marBottom w:val="0"/>
          <w:divBdr>
            <w:top w:val="none" w:sz="0" w:space="0" w:color="auto"/>
            <w:left w:val="none" w:sz="0" w:space="0" w:color="auto"/>
            <w:bottom w:val="none" w:sz="0" w:space="0" w:color="auto"/>
            <w:right w:val="none" w:sz="0" w:space="0" w:color="auto"/>
          </w:divBdr>
          <w:divsChild>
            <w:div w:id="1026180189">
              <w:marLeft w:val="0"/>
              <w:marRight w:val="0"/>
              <w:marTop w:val="0"/>
              <w:marBottom w:val="0"/>
              <w:divBdr>
                <w:top w:val="none" w:sz="0" w:space="0" w:color="auto"/>
                <w:left w:val="none" w:sz="0" w:space="0" w:color="auto"/>
                <w:bottom w:val="none" w:sz="0" w:space="0" w:color="auto"/>
                <w:right w:val="none" w:sz="0" w:space="0" w:color="auto"/>
              </w:divBdr>
            </w:div>
          </w:divsChild>
        </w:div>
        <w:div w:id="154958409">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
          </w:divsChild>
        </w:div>
        <w:div w:id="1771850837">
          <w:marLeft w:val="0"/>
          <w:marRight w:val="0"/>
          <w:marTop w:val="0"/>
          <w:marBottom w:val="0"/>
          <w:divBdr>
            <w:top w:val="none" w:sz="0" w:space="0" w:color="auto"/>
            <w:left w:val="none" w:sz="0" w:space="0" w:color="auto"/>
            <w:bottom w:val="none" w:sz="0" w:space="0" w:color="auto"/>
            <w:right w:val="none" w:sz="0" w:space="0" w:color="auto"/>
          </w:divBdr>
          <w:divsChild>
            <w:div w:id="2034308467">
              <w:marLeft w:val="0"/>
              <w:marRight w:val="0"/>
              <w:marTop w:val="0"/>
              <w:marBottom w:val="0"/>
              <w:divBdr>
                <w:top w:val="none" w:sz="0" w:space="0" w:color="auto"/>
                <w:left w:val="none" w:sz="0" w:space="0" w:color="auto"/>
                <w:bottom w:val="none" w:sz="0" w:space="0" w:color="auto"/>
                <w:right w:val="none" w:sz="0" w:space="0" w:color="auto"/>
              </w:divBdr>
            </w:div>
          </w:divsChild>
        </w:div>
        <w:div w:id="71976920">
          <w:marLeft w:val="0"/>
          <w:marRight w:val="0"/>
          <w:marTop w:val="0"/>
          <w:marBottom w:val="0"/>
          <w:divBdr>
            <w:top w:val="none" w:sz="0" w:space="0" w:color="auto"/>
            <w:left w:val="none" w:sz="0" w:space="0" w:color="auto"/>
            <w:bottom w:val="none" w:sz="0" w:space="0" w:color="auto"/>
            <w:right w:val="none" w:sz="0" w:space="0" w:color="auto"/>
          </w:divBdr>
          <w:divsChild>
            <w:div w:id="2121103852">
              <w:marLeft w:val="0"/>
              <w:marRight w:val="0"/>
              <w:marTop w:val="0"/>
              <w:marBottom w:val="0"/>
              <w:divBdr>
                <w:top w:val="none" w:sz="0" w:space="0" w:color="auto"/>
                <w:left w:val="none" w:sz="0" w:space="0" w:color="auto"/>
                <w:bottom w:val="none" w:sz="0" w:space="0" w:color="auto"/>
                <w:right w:val="none" w:sz="0" w:space="0" w:color="auto"/>
              </w:divBdr>
            </w:div>
          </w:divsChild>
        </w:div>
        <w:div w:id="1484614046">
          <w:marLeft w:val="0"/>
          <w:marRight w:val="0"/>
          <w:marTop w:val="0"/>
          <w:marBottom w:val="0"/>
          <w:divBdr>
            <w:top w:val="none" w:sz="0" w:space="0" w:color="auto"/>
            <w:left w:val="none" w:sz="0" w:space="0" w:color="auto"/>
            <w:bottom w:val="none" w:sz="0" w:space="0" w:color="auto"/>
            <w:right w:val="none" w:sz="0" w:space="0" w:color="auto"/>
          </w:divBdr>
          <w:divsChild>
            <w:div w:id="1232231633">
              <w:marLeft w:val="0"/>
              <w:marRight w:val="0"/>
              <w:marTop w:val="0"/>
              <w:marBottom w:val="0"/>
              <w:divBdr>
                <w:top w:val="none" w:sz="0" w:space="0" w:color="auto"/>
                <w:left w:val="none" w:sz="0" w:space="0" w:color="auto"/>
                <w:bottom w:val="none" w:sz="0" w:space="0" w:color="auto"/>
                <w:right w:val="none" w:sz="0" w:space="0" w:color="auto"/>
              </w:divBdr>
            </w:div>
          </w:divsChild>
        </w:div>
        <w:div w:id="831992496">
          <w:marLeft w:val="0"/>
          <w:marRight w:val="0"/>
          <w:marTop w:val="0"/>
          <w:marBottom w:val="0"/>
          <w:divBdr>
            <w:top w:val="none" w:sz="0" w:space="0" w:color="auto"/>
            <w:left w:val="none" w:sz="0" w:space="0" w:color="auto"/>
            <w:bottom w:val="none" w:sz="0" w:space="0" w:color="auto"/>
            <w:right w:val="none" w:sz="0" w:space="0" w:color="auto"/>
          </w:divBdr>
          <w:divsChild>
            <w:div w:id="20514494">
              <w:marLeft w:val="0"/>
              <w:marRight w:val="0"/>
              <w:marTop w:val="0"/>
              <w:marBottom w:val="0"/>
              <w:divBdr>
                <w:top w:val="none" w:sz="0" w:space="0" w:color="auto"/>
                <w:left w:val="none" w:sz="0" w:space="0" w:color="auto"/>
                <w:bottom w:val="none" w:sz="0" w:space="0" w:color="auto"/>
                <w:right w:val="none" w:sz="0" w:space="0" w:color="auto"/>
              </w:divBdr>
            </w:div>
          </w:divsChild>
        </w:div>
        <w:div w:id="786968199">
          <w:marLeft w:val="0"/>
          <w:marRight w:val="0"/>
          <w:marTop w:val="0"/>
          <w:marBottom w:val="0"/>
          <w:divBdr>
            <w:top w:val="none" w:sz="0" w:space="0" w:color="auto"/>
            <w:left w:val="none" w:sz="0" w:space="0" w:color="auto"/>
            <w:bottom w:val="none" w:sz="0" w:space="0" w:color="auto"/>
            <w:right w:val="none" w:sz="0" w:space="0" w:color="auto"/>
          </w:divBdr>
          <w:divsChild>
            <w:div w:id="847869404">
              <w:marLeft w:val="0"/>
              <w:marRight w:val="0"/>
              <w:marTop w:val="0"/>
              <w:marBottom w:val="0"/>
              <w:divBdr>
                <w:top w:val="none" w:sz="0" w:space="0" w:color="auto"/>
                <w:left w:val="none" w:sz="0" w:space="0" w:color="auto"/>
                <w:bottom w:val="none" w:sz="0" w:space="0" w:color="auto"/>
                <w:right w:val="none" w:sz="0" w:space="0" w:color="auto"/>
              </w:divBdr>
            </w:div>
          </w:divsChild>
        </w:div>
        <w:div w:id="389154363">
          <w:marLeft w:val="0"/>
          <w:marRight w:val="0"/>
          <w:marTop w:val="0"/>
          <w:marBottom w:val="0"/>
          <w:divBdr>
            <w:top w:val="none" w:sz="0" w:space="0" w:color="auto"/>
            <w:left w:val="none" w:sz="0" w:space="0" w:color="auto"/>
            <w:bottom w:val="none" w:sz="0" w:space="0" w:color="auto"/>
            <w:right w:val="none" w:sz="0" w:space="0" w:color="auto"/>
          </w:divBdr>
          <w:divsChild>
            <w:div w:id="2143887379">
              <w:marLeft w:val="0"/>
              <w:marRight w:val="0"/>
              <w:marTop w:val="0"/>
              <w:marBottom w:val="0"/>
              <w:divBdr>
                <w:top w:val="none" w:sz="0" w:space="0" w:color="auto"/>
                <w:left w:val="none" w:sz="0" w:space="0" w:color="auto"/>
                <w:bottom w:val="none" w:sz="0" w:space="0" w:color="auto"/>
                <w:right w:val="none" w:sz="0" w:space="0" w:color="auto"/>
              </w:divBdr>
            </w:div>
          </w:divsChild>
        </w:div>
        <w:div w:id="1308779789">
          <w:marLeft w:val="0"/>
          <w:marRight w:val="0"/>
          <w:marTop w:val="0"/>
          <w:marBottom w:val="0"/>
          <w:divBdr>
            <w:top w:val="none" w:sz="0" w:space="0" w:color="auto"/>
            <w:left w:val="none" w:sz="0" w:space="0" w:color="auto"/>
            <w:bottom w:val="none" w:sz="0" w:space="0" w:color="auto"/>
            <w:right w:val="none" w:sz="0" w:space="0" w:color="auto"/>
          </w:divBdr>
          <w:divsChild>
            <w:div w:id="368802950">
              <w:marLeft w:val="0"/>
              <w:marRight w:val="0"/>
              <w:marTop w:val="0"/>
              <w:marBottom w:val="0"/>
              <w:divBdr>
                <w:top w:val="none" w:sz="0" w:space="0" w:color="auto"/>
                <w:left w:val="none" w:sz="0" w:space="0" w:color="auto"/>
                <w:bottom w:val="none" w:sz="0" w:space="0" w:color="auto"/>
                <w:right w:val="none" w:sz="0" w:space="0" w:color="auto"/>
              </w:divBdr>
            </w:div>
          </w:divsChild>
        </w:div>
        <w:div w:id="479349484">
          <w:marLeft w:val="0"/>
          <w:marRight w:val="0"/>
          <w:marTop w:val="0"/>
          <w:marBottom w:val="0"/>
          <w:divBdr>
            <w:top w:val="none" w:sz="0" w:space="0" w:color="auto"/>
            <w:left w:val="none" w:sz="0" w:space="0" w:color="auto"/>
            <w:bottom w:val="none" w:sz="0" w:space="0" w:color="auto"/>
            <w:right w:val="none" w:sz="0" w:space="0" w:color="auto"/>
          </w:divBdr>
          <w:divsChild>
            <w:div w:id="997883066">
              <w:marLeft w:val="0"/>
              <w:marRight w:val="0"/>
              <w:marTop w:val="0"/>
              <w:marBottom w:val="0"/>
              <w:divBdr>
                <w:top w:val="none" w:sz="0" w:space="0" w:color="auto"/>
                <w:left w:val="none" w:sz="0" w:space="0" w:color="auto"/>
                <w:bottom w:val="none" w:sz="0" w:space="0" w:color="auto"/>
                <w:right w:val="none" w:sz="0" w:space="0" w:color="auto"/>
              </w:divBdr>
            </w:div>
          </w:divsChild>
        </w:div>
        <w:div w:id="1173375445">
          <w:marLeft w:val="0"/>
          <w:marRight w:val="0"/>
          <w:marTop w:val="0"/>
          <w:marBottom w:val="0"/>
          <w:divBdr>
            <w:top w:val="none" w:sz="0" w:space="0" w:color="auto"/>
            <w:left w:val="none" w:sz="0" w:space="0" w:color="auto"/>
            <w:bottom w:val="none" w:sz="0" w:space="0" w:color="auto"/>
            <w:right w:val="none" w:sz="0" w:space="0" w:color="auto"/>
          </w:divBdr>
          <w:divsChild>
            <w:div w:id="18790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tc.gov/reports/annual-highlights-2020/stats-data-2020" TargetMode="External"/><Relationship Id="rId2" Type="http://schemas.openxmlformats.org/officeDocument/2006/relationships/hyperlink" Target="https://www.msn.com/en-us/money/other/ftc-staff-reportedly-recommended-against-suing-meta/ar-AA106AfG" TargetMode="External"/><Relationship Id="rId1" Type="http://schemas.openxmlformats.org/officeDocument/2006/relationships/hyperlink" Target="https://www.acus.gov/report/greenlighting-administrative-prosecution-checks-and-balances-charging-decisions" TargetMode="External"/><Relationship Id="rId6" Type="http://schemas.openxmlformats.org/officeDocument/2006/relationships/hyperlink" Target="https://www.acus.gov/report/final-report-agency-appellate-systems" TargetMode="External"/><Relationship Id="rId5" Type="http://schemas.openxmlformats.org/officeDocument/2006/relationships/hyperlink" Target="https://www.consumerfinance.gov/enforcement/life-cycle-of-enforcement-action/" TargetMode="External"/><Relationship Id="rId4" Type="http://schemas.openxmlformats.org/officeDocument/2006/relationships/hyperlink" Target="https://www.whitehouse.gov/wp-content/uploads/2021/07/White-House-Policy-for-Contacts-with-Agencies-and-Departments.pdf?emci=12770deb-dfef-eb11-a7ad-501ac57b8fa7&amp;emdi=eea5f50a-86f0-eb11-b563-501ac57b8fa7&amp;ceid=203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2880-2BF2-D547-B52D-73FAE029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12789</Words>
  <Characters>72901</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 Kapetanovic</cp:lastModifiedBy>
  <cp:revision>2</cp:revision>
  <cp:lastPrinted>2020-08-10T16:06:00Z</cp:lastPrinted>
  <dcterms:created xsi:type="dcterms:W3CDTF">2023-02-24T14:43:00Z</dcterms:created>
  <dcterms:modified xsi:type="dcterms:W3CDTF">2023-02-24T14:43:00Z</dcterms:modified>
</cp:coreProperties>
</file>